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A7AB1">
      <w:pPr>
        <w:spacing w:line="300" w:lineRule="auto"/>
        <w:jc w:val="center"/>
        <w:rPr>
          <w:rFonts w:hint="eastAsia" w:ascii="宋体" w:hAnsi="宋体" w:eastAsia="宋体" w:cs="宋体"/>
          <w:b/>
          <w:bCs/>
          <w:sz w:val="44"/>
          <w:szCs w:val="44"/>
          <w:highlight w:val="none"/>
          <w:lang w:eastAsia="zh-CN"/>
        </w:rPr>
      </w:pPr>
      <w:r>
        <w:rPr>
          <w:rFonts w:hint="eastAsia" w:ascii="宋体" w:hAnsi="宋体" w:eastAsia="宋体" w:cs="宋体"/>
          <w:b/>
          <w:bCs/>
          <w:sz w:val="36"/>
          <w:szCs w:val="36"/>
          <w:highlight w:val="none"/>
          <w:lang w:eastAsia="zh-CN"/>
        </w:rPr>
        <w:t>合同草案条款</w:t>
      </w:r>
    </w:p>
    <w:p w14:paraId="78287936">
      <w:pPr>
        <w:rPr>
          <w:rFonts w:hint="eastAsia"/>
          <w:highlight w:val="none"/>
        </w:rPr>
      </w:pPr>
    </w:p>
    <w:p w14:paraId="271ED44F">
      <w:pPr>
        <w:spacing w:line="300" w:lineRule="auto"/>
        <w:jc w:val="center"/>
        <w:rPr>
          <w:rFonts w:hint="eastAsia" w:ascii="宋体" w:hAnsi="宋体" w:eastAsia="宋体" w:cs="宋体"/>
          <w:b/>
          <w:bCs/>
          <w:sz w:val="40"/>
          <w:szCs w:val="40"/>
          <w:highlight w:val="none"/>
          <w:lang w:eastAsia="zh-CN"/>
        </w:rPr>
      </w:pPr>
      <w:r>
        <w:rPr>
          <w:rFonts w:hint="eastAsia" w:ascii="宋体" w:hAnsi="宋体" w:eastAsia="宋体" w:cs="宋体"/>
          <w:b/>
          <w:bCs/>
          <w:sz w:val="40"/>
          <w:szCs w:val="40"/>
          <w:highlight w:val="none"/>
          <w:lang w:eastAsia="zh-CN"/>
        </w:rPr>
        <w:t>重点防汛风险点位视频监控增补及汇集项目</w:t>
      </w:r>
    </w:p>
    <w:p w14:paraId="7B5556AE">
      <w:pPr>
        <w:spacing w:line="300" w:lineRule="auto"/>
        <w:jc w:val="center"/>
        <w:rPr>
          <w:rFonts w:hint="eastAsia" w:ascii="宋体" w:hAnsi="宋体" w:eastAsia="宋体" w:cs="宋体"/>
          <w:b/>
          <w:bCs/>
          <w:sz w:val="40"/>
          <w:szCs w:val="40"/>
          <w:highlight w:val="none"/>
          <w:lang w:eastAsia="zh-CN"/>
        </w:rPr>
      </w:pPr>
    </w:p>
    <w:p w14:paraId="29C0EB8E">
      <w:pPr>
        <w:spacing w:line="300" w:lineRule="auto"/>
        <w:jc w:val="center"/>
        <w:rPr>
          <w:rFonts w:hint="eastAsia" w:ascii="宋体" w:hAnsi="宋体" w:eastAsia="宋体" w:cs="宋体"/>
          <w:b/>
          <w:bCs/>
          <w:sz w:val="40"/>
          <w:szCs w:val="40"/>
          <w:highlight w:val="none"/>
          <w:lang w:eastAsia="zh-CN"/>
        </w:rPr>
      </w:pPr>
    </w:p>
    <w:p w14:paraId="5CEEC0D7">
      <w:pPr>
        <w:rPr>
          <w:rFonts w:hint="eastAsia" w:ascii="宋体" w:hAnsi="宋体" w:eastAsia="宋体" w:cs="宋体"/>
          <w:kern w:val="2"/>
          <w:sz w:val="36"/>
          <w:szCs w:val="36"/>
          <w:highlight w:val="none"/>
          <w:lang w:val="en-US" w:eastAsia="zh-CN" w:bidi="ar-SA"/>
        </w:rPr>
      </w:pPr>
    </w:p>
    <w:p w14:paraId="529182B1">
      <w:pPr>
        <w:rPr>
          <w:rFonts w:hint="eastAsia" w:ascii="宋体" w:hAnsi="宋体" w:eastAsia="宋体" w:cs="宋体"/>
          <w:kern w:val="2"/>
          <w:sz w:val="36"/>
          <w:szCs w:val="36"/>
          <w:highlight w:val="none"/>
          <w:lang w:val="en-US" w:eastAsia="zh-CN" w:bidi="ar-SA"/>
        </w:rPr>
      </w:pPr>
    </w:p>
    <w:p w14:paraId="72A503BB">
      <w:pPr>
        <w:pStyle w:val="2"/>
        <w:rPr>
          <w:rFonts w:hint="eastAsia" w:ascii="宋体" w:hAnsi="宋体" w:eastAsia="宋体" w:cs="宋体"/>
          <w:kern w:val="2"/>
          <w:sz w:val="36"/>
          <w:szCs w:val="36"/>
          <w:highlight w:val="none"/>
          <w:lang w:val="en-US" w:eastAsia="zh-CN" w:bidi="ar-SA"/>
        </w:rPr>
      </w:pPr>
    </w:p>
    <w:p w14:paraId="45976B89">
      <w:pPr>
        <w:rPr>
          <w:rFonts w:hint="eastAsia" w:ascii="宋体" w:hAnsi="宋体" w:eastAsia="宋体" w:cs="宋体"/>
          <w:kern w:val="2"/>
          <w:sz w:val="36"/>
          <w:szCs w:val="36"/>
          <w:highlight w:val="none"/>
          <w:lang w:val="en-US" w:eastAsia="zh-CN" w:bidi="ar-SA"/>
        </w:rPr>
      </w:pPr>
    </w:p>
    <w:p w14:paraId="1E3AFB98">
      <w:pPr>
        <w:pStyle w:val="2"/>
        <w:rPr>
          <w:rFonts w:hint="eastAsia" w:ascii="宋体" w:hAnsi="宋体" w:eastAsia="宋体" w:cs="宋体"/>
          <w:kern w:val="2"/>
          <w:sz w:val="36"/>
          <w:szCs w:val="36"/>
          <w:highlight w:val="none"/>
          <w:lang w:val="en-US" w:eastAsia="zh-CN" w:bidi="ar-SA"/>
        </w:rPr>
      </w:pPr>
    </w:p>
    <w:p w14:paraId="783BC9CC">
      <w:pPr>
        <w:rPr>
          <w:rFonts w:hint="eastAsia" w:ascii="宋体" w:hAnsi="宋体" w:eastAsia="宋体" w:cs="宋体"/>
          <w:kern w:val="2"/>
          <w:sz w:val="36"/>
          <w:szCs w:val="36"/>
          <w:highlight w:val="none"/>
          <w:lang w:val="en-US" w:eastAsia="zh-CN" w:bidi="ar-SA"/>
        </w:rPr>
      </w:pPr>
    </w:p>
    <w:p w14:paraId="17D56B73">
      <w:pPr>
        <w:pStyle w:val="2"/>
        <w:rPr>
          <w:rFonts w:hint="eastAsia" w:ascii="宋体" w:hAnsi="宋体" w:eastAsia="宋体" w:cs="宋体"/>
          <w:kern w:val="2"/>
          <w:sz w:val="36"/>
          <w:szCs w:val="36"/>
          <w:highlight w:val="none"/>
          <w:lang w:val="en-US" w:eastAsia="zh-CN" w:bidi="ar-SA"/>
        </w:rPr>
      </w:pPr>
    </w:p>
    <w:p w14:paraId="50FCA2CE">
      <w:pPr>
        <w:rPr>
          <w:rFonts w:hint="eastAsia" w:ascii="宋体" w:hAnsi="宋体" w:eastAsia="宋体" w:cs="宋体"/>
          <w:kern w:val="2"/>
          <w:sz w:val="36"/>
          <w:szCs w:val="36"/>
          <w:highlight w:val="none"/>
          <w:lang w:val="en-US" w:eastAsia="zh-CN" w:bidi="ar-SA"/>
        </w:rPr>
      </w:pPr>
    </w:p>
    <w:p w14:paraId="1434946D">
      <w:pPr>
        <w:pStyle w:val="2"/>
        <w:rPr>
          <w:rFonts w:hint="eastAsia" w:ascii="宋体" w:hAnsi="宋体" w:eastAsia="宋体" w:cs="宋体"/>
          <w:kern w:val="2"/>
          <w:sz w:val="36"/>
          <w:szCs w:val="36"/>
          <w:highlight w:val="none"/>
          <w:lang w:val="en-US" w:eastAsia="zh-CN" w:bidi="ar-SA"/>
        </w:rPr>
      </w:pPr>
    </w:p>
    <w:p w14:paraId="0BF6E13A">
      <w:pPr>
        <w:pStyle w:val="2"/>
        <w:rPr>
          <w:rFonts w:hint="eastAsia" w:ascii="宋体" w:hAnsi="宋体" w:eastAsia="宋体" w:cs="宋体"/>
          <w:kern w:val="2"/>
          <w:sz w:val="36"/>
          <w:szCs w:val="36"/>
          <w:highlight w:val="none"/>
          <w:lang w:val="en-US" w:eastAsia="zh-CN" w:bidi="ar-SA"/>
        </w:rPr>
      </w:pPr>
    </w:p>
    <w:p w14:paraId="344D8317">
      <w:pPr>
        <w:jc w:val="left"/>
        <w:rPr>
          <w:rFonts w:hint="eastAsia" w:ascii="宋体" w:hAnsi="宋体" w:eastAsia="宋体" w:cs="宋体"/>
          <w:kern w:val="2"/>
          <w:sz w:val="28"/>
          <w:szCs w:val="28"/>
          <w:highlight w:val="none"/>
          <w:lang w:val="en-US" w:eastAsia="zh-CN" w:bidi="ar-SA"/>
        </w:rPr>
      </w:pPr>
    </w:p>
    <w:p w14:paraId="625E5602">
      <w:pPr>
        <w:pStyle w:val="2"/>
        <w:ind w:firstLine="1401" w:firstLineChars="500"/>
        <w:jc w:val="left"/>
        <w:rPr>
          <w:rFonts w:hint="default" w:ascii="宋体" w:hAnsi="宋体" w:eastAsia="宋体" w:cs="宋体"/>
          <w:b/>
          <w:bCs/>
          <w:kern w:val="2"/>
          <w:sz w:val="28"/>
          <w:szCs w:val="28"/>
          <w:highlight w:val="none"/>
          <w:u w:val="single"/>
          <w:lang w:val="en-US" w:eastAsia="zh-CN" w:bidi="ar-SA"/>
        </w:rPr>
      </w:pPr>
      <w:r>
        <w:rPr>
          <w:rFonts w:hint="eastAsia" w:cs="宋体"/>
          <w:b/>
          <w:bCs/>
          <w:kern w:val="2"/>
          <w:sz w:val="28"/>
          <w:szCs w:val="28"/>
          <w:highlight w:val="none"/>
          <w:lang w:val="en-US" w:eastAsia="zh-CN" w:bidi="ar-SA"/>
        </w:rPr>
        <w:t>甲方</w:t>
      </w:r>
      <w:r>
        <w:rPr>
          <w:rFonts w:hint="eastAsia" w:ascii="宋体" w:hAnsi="宋体" w:eastAsia="宋体" w:cs="宋体"/>
          <w:b/>
          <w:bCs/>
          <w:kern w:val="2"/>
          <w:sz w:val="28"/>
          <w:szCs w:val="28"/>
          <w:highlight w:val="none"/>
          <w:lang w:val="en-US" w:eastAsia="zh-CN" w:bidi="ar-SA"/>
        </w:rPr>
        <w:t>：</w:t>
      </w:r>
      <w:r>
        <w:rPr>
          <w:rFonts w:hint="eastAsia" w:ascii="宋体" w:hAnsi="宋体" w:eastAsia="宋体" w:cs="宋体"/>
          <w:b/>
          <w:bCs/>
          <w:kern w:val="2"/>
          <w:sz w:val="28"/>
          <w:szCs w:val="28"/>
          <w:highlight w:val="none"/>
          <w:u w:val="single"/>
          <w:lang w:val="en-US" w:eastAsia="zh-CN" w:bidi="ar-SA"/>
        </w:rPr>
        <w:t xml:space="preserve">                                 </w:t>
      </w:r>
    </w:p>
    <w:p w14:paraId="028C99B2">
      <w:pPr>
        <w:bidi w:val="0"/>
        <w:rPr>
          <w:rFonts w:hint="eastAsia"/>
          <w:highlight w:val="none"/>
          <w:lang w:val="en-US" w:eastAsia="zh-CN"/>
        </w:rPr>
      </w:pPr>
    </w:p>
    <w:p w14:paraId="77CE3B93">
      <w:pPr>
        <w:ind w:firstLine="1405" w:firstLineChars="500"/>
        <w:jc w:val="left"/>
        <w:rPr>
          <w:rFonts w:hint="default" w:ascii="宋体" w:hAnsi="宋体" w:eastAsia="宋体" w:cs="宋体"/>
          <w:b/>
          <w:bCs/>
          <w:kern w:val="2"/>
          <w:sz w:val="28"/>
          <w:szCs w:val="28"/>
          <w:highlight w:val="none"/>
          <w:u w:val="single"/>
          <w:lang w:val="en-US" w:eastAsia="zh-CN" w:bidi="ar-SA"/>
        </w:rPr>
      </w:pPr>
      <w:r>
        <w:rPr>
          <w:rFonts w:hint="eastAsia" w:ascii="宋体" w:hAnsi="宋体" w:eastAsia="宋体" w:cs="宋体"/>
          <w:b/>
          <w:bCs/>
          <w:kern w:val="2"/>
          <w:sz w:val="28"/>
          <w:szCs w:val="28"/>
          <w:highlight w:val="none"/>
          <w:lang w:val="en-US" w:eastAsia="zh-CN" w:bidi="ar-SA"/>
        </w:rPr>
        <w:t>乙方：</w:t>
      </w:r>
      <w:r>
        <w:rPr>
          <w:rFonts w:hint="eastAsia" w:ascii="宋体" w:hAnsi="宋体" w:cs="宋体"/>
          <w:b/>
          <w:bCs/>
          <w:kern w:val="2"/>
          <w:sz w:val="28"/>
          <w:szCs w:val="28"/>
          <w:highlight w:val="none"/>
          <w:u w:val="single"/>
          <w:lang w:val="en-US" w:eastAsia="zh-CN" w:bidi="ar-SA"/>
        </w:rPr>
        <w:t xml:space="preserve">                                 </w:t>
      </w:r>
    </w:p>
    <w:p w14:paraId="43F1A44B">
      <w:pPr>
        <w:ind w:firstLine="1401" w:firstLineChars="500"/>
        <w:jc w:val="left"/>
        <w:rPr>
          <w:rFonts w:hint="eastAsia" w:ascii="Arial" w:hAnsi="Arial" w:eastAsia="Arial" w:cs="宋体"/>
          <w:b/>
          <w:bCs/>
          <w:snapToGrid w:val="0"/>
          <w:color w:val="000000"/>
          <w:kern w:val="2"/>
          <w:sz w:val="28"/>
          <w:szCs w:val="28"/>
          <w:highlight w:val="none"/>
          <w:lang w:val="en-US" w:eastAsia="zh-CN" w:bidi="ar-SA"/>
        </w:rPr>
      </w:pPr>
    </w:p>
    <w:p w14:paraId="181B7DE7">
      <w:pPr>
        <w:ind w:firstLine="1401" w:firstLineChars="500"/>
        <w:jc w:val="left"/>
        <w:rPr>
          <w:rFonts w:hint="eastAsia" w:ascii="宋体" w:hAnsi="宋体" w:eastAsia="宋体" w:cs="宋体"/>
          <w:b/>
          <w:bCs/>
          <w:kern w:val="2"/>
          <w:sz w:val="28"/>
          <w:szCs w:val="28"/>
          <w:highlight w:val="none"/>
          <w:lang w:val="en-US" w:eastAsia="zh-CN" w:bidi="ar-SA"/>
        </w:rPr>
      </w:pPr>
      <w:r>
        <w:rPr>
          <w:rFonts w:hint="eastAsia" w:ascii="Arial" w:hAnsi="Arial" w:eastAsia="Arial" w:cs="宋体"/>
          <w:b/>
          <w:bCs/>
          <w:snapToGrid w:val="0"/>
          <w:color w:val="000000"/>
          <w:kern w:val="2"/>
          <w:sz w:val="28"/>
          <w:szCs w:val="28"/>
          <w:highlight w:val="none"/>
          <w:lang w:val="en-US" w:eastAsia="zh-CN" w:bidi="ar-SA"/>
        </w:rPr>
        <w:t>签订地点：</w:t>
      </w:r>
      <w:r>
        <w:rPr>
          <w:rFonts w:hint="eastAsia" w:ascii="宋体" w:hAnsi="宋体" w:eastAsia="宋体" w:cs="宋体"/>
          <w:b/>
          <w:bCs/>
          <w:snapToGrid w:val="0"/>
          <w:color w:val="000000"/>
          <w:kern w:val="2"/>
          <w:sz w:val="28"/>
          <w:szCs w:val="28"/>
          <w:highlight w:val="none"/>
          <w:u w:val="single"/>
          <w:lang w:val="en-US" w:eastAsia="zh-CN" w:bidi="ar-SA"/>
        </w:rPr>
        <w:t xml:space="preserve">西安浐灞国际港 </w:t>
      </w:r>
      <w:r>
        <w:rPr>
          <w:rFonts w:hint="eastAsia" w:ascii="宋体" w:hAnsi="宋体" w:eastAsia="宋体" w:cs="宋体"/>
          <w:b w:val="0"/>
          <w:bCs w:val="0"/>
          <w:snapToGrid w:val="0"/>
          <w:color w:val="000000"/>
          <w:kern w:val="2"/>
          <w:sz w:val="28"/>
          <w:szCs w:val="28"/>
          <w:highlight w:val="none"/>
          <w:u w:val="single"/>
          <w:lang w:val="en-US" w:eastAsia="zh-CN" w:bidi="ar-SA"/>
        </w:rPr>
        <w:t xml:space="preserve">              </w:t>
      </w:r>
      <w:r>
        <w:rPr>
          <w:rFonts w:hint="eastAsia" w:ascii="宋体" w:hAnsi="宋体" w:eastAsia="宋体" w:cs="宋体"/>
          <w:b/>
          <w:bCs/>
          <w:sz w:val="28"/>
          <w:szCs w:val="28"/>
          <w:highlight w:val="none"/>
          <w:lang w:val="en-US" w:eastAsia="zh-CN"/>
        </w:rPr>
        <w:t xml:space="preserve"> </w:t>
      </w:r>
    </w:p>
    <w:p w14:paraId="75EBC6D0">
      <w:pPr>
        <w:ind w:firstLine="1405" w:firstLineChars="500"/>
        <w:jc w:val="left"/>
        <w:rPr>
          <w:rFonts w:hint="eastAsia" w:ascii="宋体" w:hAnsi="宋体" w:eastAsia="宋体" w:cs="宋体"/>
          <w:b/>
          <w:bCs/>
          <w:kern w:val="2"/>
          <w:sz w:val="28"/>
          <w:szCs w:val="28"/>
          <w:highlight w:val="none"/>
          <w:lang w:val="en-US" w:eastAsia="zh-CN" w:bidi="ar-SA"/>
        </w:rPr>
      </w:pPr>
    </w:p>
    <w:p w14:paraId="7A34134D">
      <w:pPr>
        <w:ind w:firstLine="1405" w:firstLineChars="500"/>
        <w:jc w:val="left"/>
        <w:rPr>
          <w:rFonts w:hint="eastAsia" w:ascii="宋体" w:hAnsi="宋体" w:eastAsia="宋体" w:cs="宋体"/>
          <w:b/>
          <w:bCs/>
          <w:sz w:val="28"/>
          <w:szCs w:val="28"/>
          <w:highlight w:val="none"/>
          <w:lang w:val="en-US" w:eastAsia="zh-CN"/>
        </w:rPr>
        <w:sectPr>
          <w:footerReference r:id="rId6" w:type="first"/>
          <w:footerReference r:id="rId5" w:type="default"/>
          <w:pgSz w:w="11906" w:h="16838"/>
          <w:pgMar w:top="1440" w:right="1344" w:bottom="1440" w:left="1400" w:header="851" w:footer="992" w:gutter="0"/>
          <w:pgNumType w:fmt="numberInDash" w:start="1"/>
          <w:cols w:space="425" w:num="1"/>
          <w:titlePg/>
          <w:docGrid w:linePitch="312" w:charSpace="-3486"/>
        </w:sectPr>
      </w:pPr>
      <w:r>
        <w:rPr>
          <w:rFonts w:hint="eastAsia" w:ascii="宋体" w:hAnsi="宋体" w:eastAsia="宋体" w:cs="宋体"/>
          <w:b/>
          <w:bCs/>
          <w:kern w:val="2"/>
          <w:sz w:val="28"/>
          <w:szCs w:val="28"/>
          <w:highlight w:val="none"/>
          <w:lang w:val="en-US" w:eastAsia="zh-CN" w:bidi="ar-SA"/>
        </w:rPr>
        <w:t>签订日期：</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年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 xml:space="preserve">月 </w:t>
      </w:r>
      <w:r>
        <w:rPr>
          <w:rFonts w:hint="eastAsia" w:ascii="宋体" w:hAnsi="宋体" w:eastAsia="宋体" w:cs="宋体"/>
          <w:b/>
          <w:bCs/>
          <w:kern w:val="2"/>
          <w:sz w:val="28"/>
          <w:szCs w:val="28"/>
          <w:highlight w:val="none"/>
          <w:u w:val="single"/>
          <w:lang w:val="en-US" w:eastAsia="zh-CN" w:bidi="ar-SA"/>
        </w:rPr>
        <w:t xml:space="preserve">     </w:t>
      </w:r>
      <w:r>
        <w:rPr>
          <w:rFonts w:hint="eastAsia" w:ascii="宋体" w:hAnsi="宋体" w:eastAsia="宋体" w:cs="宋体"/>
          <w:b/>
          <w:bCs/>
          <w:kern w:val="2"/>
          <w:sz w:val="28"/>
          <w:szCs w:val="28"/>
          <w:highlight w:val="none"/>
          <w:lang w:val="en-US" w:eastAsia="zh-CN" w:bidi="ar-SA"/>
        </w:rPr>
        <w:t>日</w:t>
      </w:r>
    </w:p>
    <w:p w14:paraId="6DAF8886">
      <w:pPr>
        <w:spacing w:line="360"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采购人（全称）：</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；（以下简称甲方）</w:t>
      </w:r>
    </w:p>
    <w:p w14:paraId="436711D9">
      <w:pPr>
        <w:spacing w:line="360" w:lineRule="auto"/>
        <w:ind w:firstLine="482" w:firstLineChars="200"/>
        <w:rPr>
          <w:rFonts w:ascii="宋体" w:hAnsi="宋体" w:eastAsia="宋体" w:cs="宋体"/>
          <w:sz w:val="24"/>
          <w:szCs w:val="24"/>
          <w:highlight w:val="none"/>
          <w:u w:val="single"/>
          <w:lang w:eastAsia="zh-CN"/>
        </w:rPr>
      </w:pPr>
      <w:r>
        <w:rPr>
          <w:rFonts w:hint="eastAsia" w:ascii="宋体" w:hAnsi="宋体" w:eastAsia="宋体" w:cs="宋体"/>
          <w:b/>
          <w:sz w:val="24"/>
          <w:szCs w:val="24"/>
          <w:highlight w:val="none"/>
          <w:lang w:eastAsia="zh-CN"/>
        </w:rPr>
        <w:t>成交供应商（全称）：</w:t>
      </w:r>
      <w:r>
        <w:rPr>
          <w:rFonts w:hint="eastAsia" w:ascii="宋体" w:hAnsi="宋体" w:eastAsia="宋体" w:cs="宋体"/>
          <w:sz w:val="24"/>
          <w:szCs w:val="24"/>
          <w:highlight w:val="none"/>
          <w:u w:val="single"/>
          <w:lang w:eastAsia="zh-CN"/>
        </w:rPr>
        <w:t xml:space="preserve">                         </w:t>
      </w:r>
      <w:r>
        <w:rPr>
          <w:rFonts w:hint="eastAsia" w:ascii="宋体" w:hAnsi="宋体" w:eastAsia="宋体" w:cs="宋体"/>
          <w:sz w:val="24"/>
          <w:szCs w:val="24"/>
          <w:highlight w:val="none"/>
          <w:lang w:eastAsia="zh-CN"/>
        </w:rPr>
        <w:t>；（以下简称乙方）</w:t>
      </w:r>
    </w:p>
    <w:p w14:paraId="2C0DBA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根据《中华人民共和国民法典》、《中华人民共和国政府采购法》及其它有关法律、行政法规，为明确双方在</w:t>
      </w:r>
      <w:r>
        <w:rPr>
          <w:rFonts w:hint="eastAsia" w:ascii="宋体" w:hAnsi="宋体" w:eastAsia="宋体" w:cs="宋体"/>
          <w:color w:val="auto"/>
          <w:sz w:val="24"/>
          <w:highlight w:val="none"/>
          <w:lang w:val="zh-CN" w:eastAsia="zh-CN"/>
        </w:rPr>
        <w:t>实施</w:t>
      </w:r>
      <w:r>
        <w:rPr>
          <w:rFonts w:hint="eastAsia" w:ascii="宋体" w:hAnsi="宋体" w:eastAsia="宋体" w:cs="宋体"/>
          <w:color w:val="auto"/>
          <w:sz w:val="24"/>
          <w:highlight w:val="none"/>
          <w:lang w:val="zh-CN"/>
        </w:rPr>
        <w:t>过程中的权利、义务，经双方协商自愿签订本合同。</w:t>
      </w:r>
    </w:p>
    <w:p w14:paraId="503CCAC9">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一、合同组成</w:t>
      </w:r>
    </w:p>
    <w:p w14:paraId="215289CC">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下述文件是构成本合同不可分割的部分</w:t>
      </w:r>
      <w:r>
        <w:rPr>
          <w:rFonts w:hint="eastAsia" w:ascii="宋体" w:hAnsi="宋体" w:eastAsia="宋体" w:cs="宋体"/>
          <w:color w:val="auto"/>
          <w:sz w:val="24"/>
          <w:highlight w:val="none"/>
        </w:rPr>
        <w:t>:</w:t>
      </w:r>
    </w:p>
    <w:p w14:paraId="0DBD0197">
      <w:pPr>
        <w:keepNext w:val="0"/>
        <w:keepLines w:val="0"/>
        <w:pageBreakBefore w:val="0"/>
        <w:kinsoku/>
        <w:wordWrap/>
        <w:topLinePunct w:val="0"/>
        <w:autoSpaceDE w:val="0"/>
        <w:autoSpaceDN w:val="0"/>
        <w:bidi w:val="0"/>
        <w:adjustRightInd w:val="0"/>
        <w:snapToGrid/>
        <w:spacing w:line="360" w:lineRule="auto"/>
        <w:ind w:left="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本合同条款及其所有附件。</w:t>
      </w:r>
    </w:p>
    <w:p w14:paraId="0DCA09A7">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甲方的磋商文件及澄清文件。</w:t>
      </w:r>
    </w:p>
    <w:p w14:paraId="3C23A8CA">
      <w:pPr>
        <w:keepNext w:val="0"/>
        <w:keepLines w:val="0"/>
        <w:pageBreakBefore w:val="0"/>
        <w:kinsoku/>
        <w:wordWrap/>
        <w:topLinePunct w:val="0"/>
        <w:autoSpaceDE w:val="0"/>
        <w:autoSpaceDN w:val="0"/>
        <w:bidi w:val="0"/>
        <w:adjustRightInd w:val="0"/>
        <w:snapToGrid/>
        <w:spacing w:line="360" w:lineRule="auto"/>
        <w:ind w:firstLine="480"/>
        <w:jc w:val="left"/>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乙方的磋商响应文件及质疑解答文件。</w:t>
      </w:r>
    </w:p>
    <w:p w14:paraId="4BD4D585">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成交通知书。</w:t>
      </w:r>
    </w:p>
    <w:p w14:paraId="2CEC3EFE">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（5）</w:t>
      </w:r>
      <w:r>
        <w:rPr>
          <w:rFonts w:hint="eastAsia" w:ascii="宋体" w:hAnsi="宋体" w:eastAsia="宋体" w:cs="宋体"/>
          <w:color w:val="auto"/>
          <w:sz w:val="24"/>
          <w:highlight w:val="none"/>
          <w:lang w:val="zh-CN"/>
        </w:rPr>
        <w:t>法定代表人授权书。</w:t>
      </w:r>
    </w:p>
    <w:p w14:paraId="7A391EB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（6）双方与合同有关的往来信函、传真经双方法定代表人或其授权代表签字并加盖单位公章确认后视为本合同的组成部分。</w:t>
      </w:r>
    </w:p>
    <w:p w14:paraId="5EE287DE">
      <w:pPr>
        <w:keepNext w:val="0"/>
        <w:keepLines w:val="0"/>
        <w:pageBreakBefore w:val="0"/>
        <w:kinsoku/>
        <w:wordWrap/>
        <w:topLinePunct w:val="0"/>
        <w:autoSpaceDE w:val="0"/>
        <w:autoSpaceDN w:val="0"/>
        <w:bidi w:val="0"/>
        <w:adjustRightInd w:val="0"/>
        <w:snapToGrid/>
        <w:spacing w:line="360" w:lineRule="auto"/>
        <w:ind w:firstLine="48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（7）经双方法定代表人或其授权代表签字并加盖单位公章确认的补充协议。</w:t>
      </w:r>
    </w:p>
    <w:p w14:paraId="74EC86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eastAsia="宋体" w:cs="宋体"/>
          <w:color w:val="auto"/>
          <w:sz w:val="24"/>
          <w:highlight w:val="none"/>
        </w:rPr>
        <w:t>如果合同附件之间有矛盾之处，以有利于甲方的附件内容为准。</w:t>
      </w:r>
    </w:p>
    <w:p w14:paraId="57A89741">
      <w:pPr>
        <w:keepNext w:val="0"/>
        <w:keepLines w:val="0"/>
        <w:pageBreakBefore w:val="0"/>
        <w:kinsoku/>
        <w:wordWrap/>
        <w:topLinePunct w:val="0"/>
        <w:bidi w:val="0"/>
        <w:snapToGrid/>
        <w:spacing w:line="36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43B4AF64">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二、项目概况</w:t>
      </w:r>
    </w:p>
    <w:p w14:paraId="23F017E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highlight w:val="none"/>
        </w:rPr>
        <w:t>1.服务内容：</w:t>
      </w:r>
    </w:p>
    <w:p w14:paraId="5FAA8C6B">
      <w:pPr>
        <w:keepNext w:val="0"/>
        <w:keepLines w:val="0"/>
        <w:pageBreakBefore w:val="0"/>
        <w:kinsoku/>
        <w:wordWrap/>
        <w:topLinePunct w:val="0"/>
        <w:bidi w:val="0"/>
        <w:snapToGrid/>
        <w:spacing w:line="360" w:lineRule="auto"/>
        <w:ind w:firstLine="480" w:firstLineChars="2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服务</w:t>
      </w:r>
      <w:r>
        <w:rPr>
          <w:rFonts w:hint="eastAsia" w:ascii="宋体" w:hAnsi="宋体" w:eastAsia="宋体" w:cs="宋体"/>
          <w:color w:val="auto"/>
          <w:sz w:val="24"/>
          <w:highlight w:val="none"/>
        </w:rPr>
        <w:t>期：</w:t>
      </w:r>
      <w:r>
        <w:rPr>
          <w:rFonts w:hint="eastAsia" w:ascii="宋体" w:hAnsi="宋体" w:eastAsia="宋体" w:cs="宋体"/>
          <w:color w:val="auto"/>
          <w:sz w:val="24"/>
          <w:highlight w:val="none"/>
          <w:lang w:val="en-US" w:eastAsia="zh-CN"/>
        </w:rPr>
        <w:t>自合同签订之日起一年</w:t>
      </w:r>
    </w:p>
    <w:p w14:paraId="6AF3A05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服务地点：采购人指定地点</w:t>
      </w:r>
    </w:p>
    <w:p w14:paraId="0EDC0A23">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b/>
          <w:bCs/>
          <w:sz w:val="21"/>
          <w:szCs w:val="21"/>
          <w:highlight w:val="none"/>
          <w:u w:val="none"/>
          <w:lang w:val="en-US" w:eastAsia="zh-CN"/>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服务质量</w:t>
      </w:r>
      <w:r>
        <w:rPr>
          <w:rFonts w:hint="eastAsia" w:ascii="宋体" w:hAnsi="宋体" w:eastAsia="宋体" w:cs="宋体"/>
          <w:color w:val="auto"/>
          <w:sz w:val="24"/>
          <w:highlight w:val="none"/>
        </w:rPr>
        <w:t>：符合国家有关现行规范、标准的要求</w:t>
      </w:r>
    </w:p>
    <w:p w14:paraId="76F23680">
      <w:pPr>
        <w:keepNext w:val="0"/>
        <w:keepLines w:val="0"/>
        <w:pageBreakBefore w:val="0"/>
        <w:widowControl w:val="0"/>
        <w:kinsoku/>
        <w:wordWrap/>
        <w:overflowPunct/>
        <w:topLinePunct w:val="0"/>
        <w:autoSpaceDE/>
        <w:autoSpaceDN/>
        <w:bidi w:val="0"/>
        <w:adjustRightInd/>
        <w:snapToGrid/>
        <w:spacing w:line="336" w:lineRule="auto"/>
        <w:textAlignment w:val="baseline"/>
        <w:rPr>
          <w:rFonts w:ascii="宋体"/>
          <w:b/>
          <w:bCs/>
          <w:color w:val="auto"/>
          <w:kern w:val="0"/>
          <w:sz w:val="24"/>
          <w:szCs w:val="24"/>
          <w:highlight w:val="none"/>
          <w:u w:val="none" w:color="000000"/>
        </w:rPr>
      </w:pPr>
      <w:r>
        <w:rPr>
          <w:rFonts w:hint="eastAsia" w:ascii="宋体" w:hAnsi="宋体" w:eastAsia="宋体" w:cs="宋体"/>
          <w:b/>
          <w:color w:val="auto"/>
          <w:sz w:val="24"/>
          <w:highlight w:val="none"/>
          <w:lang w:val="en-US" w:eastAsia="zh-CN"/>
        </w:rPr>
        <w:t>三、</w:t>
      </w:r>
      <w:r>
        <w:rPr>
          <w:rFonts w:hint="eastAsia" w:ascii="宋体" w:hAnsi="宋体" w:cs="宋体"/>
          <w:b/>
          <w:bCs/>
          <w:color w:val="auto"/>
          <w:kern w:val="0"/>
          <w:sz w:val="24"/>
          <w:szCs w:val="24"/>
          <w:highlight w:val="none"/>
          <w:u w:val="none" w:color="000000"/>
        </w:rPr>
        <w:t>合同价款</w:t>
      </w:r>
    </w:p>
    <w:p w14:paraId="619C267E">
      <w:pPr>
        <w:keepNext w:val="0"/>
        <w:keepLines w:val="0"/>
        <w:pageBreakBefore w:val="0"/>
        <w:widowControl w:val="0"/>
        <w:kinsoku/>
        <w:wordWrap/>
        <w:overflowPunct/>
        <w:topLinePunct w:val="0"/>
        <w:autoSpaceDE/>
        <w:autoSpaceDN/>
        <w:bidi w:val="0"/>
        <w:adjustRightInd/>
        <w:snapToGrid w:val="0"/>
        <w:spacing w:line="336" w:lineRule="auto"/>
        <w:ind w:firstLine="480" w:firstLineChars="200"/>
        <w:textAlignment w:val="baseline"/>
        <w:rPr>
          <w:rFonts w:hint="eastAsia" w:ascii="宋体" w:hAnsi="宋体" w:cs="宋体"/>
          <w:color w:val="auto"/>
          <w:kern w:val="0"/>
          <w:sz w:val="24"/>
          <w:highlight w:val="none"/>
          <w:u w:color="000000"/>
          <w:lang w:eastAsia="zh-CN"/>
        </w:rPr>
      </w:pPr>
      <w:r>
        <w:rPr>
          <w:rFonts w:hint="eastAsia" w:ascii="宋体" w:hAnsi="宋体" w:cs="宋体"/>
          <w:color w:val="auto"/>
          <w:kern w:val="0"/>
          <w:sz w:val="24"/>
          <w:highlight w:val="none"/>
          <w:u w:color="000000"/>
          <w:lang w:eastAsia="zh-CN"/>
        </w:rPr>
        <w:t>合同价款：</w:t>
      </w:r>
      <w:r>
        <w:rPr>
          <w:rFonts w:hint="eastAsia" w:ascii="宋体" w:hAnsi="宋体" w:cs="宋体"/>
          <w:color w:val="auto"/>
          <w:kern w:val="0"/>
          <w:sz w:val="24"/>
          <w:highlight w:val="none"/>
          <w:u w:color="000000"/>
        </w:rPr>
        <w:t>合同为固定</w:t>
      </w:r>
      <w:r>
        <w:rPr>
          <w:rFonts w:hint="eastAsia" w:ascii="宋体" w:hAnsi="宋体" w:cs="宋体"/>
          <w:color w:val="auto"/>
          <w:kern w:val="0"/>
          <w:sz w:val="24"/>
          <w:highlight w:val="none"/>
          <w:u w:color="000000"/>
          <w:lang w:eastAsia="zh-CN"/>
        </w:rPr>
        <w:t>总</w:t>
      </w:r>
      <w:r>
        <w:rPr>
          <w:rFonts w:hint="eastAsia" w:ascii="宋体" w:hAnsi="宋体" w:cs="宋体"/>
          <w:color w:val="auto"/>
          <w:kern w:val="0"/>
          <w:sz w:val="24"/>
          <w:highlight w:val="none"/>
          <w:u w:color="000000"/>
        </w:rPr>
        <w:t>价合同</w:t>
      </w:r>
      <w:r>
        <w:rPr>
          <w:rFonts w:hint="eastAsia" w:ascii="宋体" w:hAnsi="宋体" w:cs="宋体"/>
          <w:color w:val="auto"/>
          <w:kern w:val="0"/>
          <w:sz w:val="24"/>
          <w:highlight w:val="none"/>
          <w:u w:color="000000"/>
          <w:lang w:eastAsia="zh-CN"/>
        </w:rPr>
        <w:t>。</w:t>
      </w:r>
    </w:p>
    <w:p w14:paraId="668E8F7F">
      <w:pPr>
        <w:keepNext w:val="0"/>
        <w:keepLines w:val="0"/>
        <w:pageBreakBefore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rPr>
        <w:t>合同总价款为人民币（大写）</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r>
        <w:rPr>
          <w:rFonts w:hint="eastAsia" w:ascii="宋体" w:hAnsi="宋体" w:eastAsia="宋体" w:cs="宋体"/>
          <w:i/>
          <w:iCs/>
          <w:color w:val="auto"/>
          <w:sz w:val="24"/>
          <w:szCs w:val="32"/>
          <w:highlight w:val="none"/>
          <w:u w:val="single"/>
        </w:rPr>
        <w:t xml:space="preserve">     </w:t>
      </w:r>
      <w:r>
        <w:rPr>
          <w:rFonts w:hint="eastAsia" w:ascii="宋体" w:hAnsi="宋体" w:eastAsia="宋体" w:cs="宋体"/>
          <w:color w:val="auto"/>
          <w:sz w:val="24"/>
          <w:szCs w:val="32"/>
          <w:highlight w:val="none"/>
        </w:rPr>
        <w:t>）。注：为含税金额</w:t>
      </w:r>
      <w:r>
        <w:rPr>
          <w:rFonts w:hint="eastAsia" w:ascii="宋体" w:hAnsi="宋体" w:eastAsia="宋体" w:cs="宋体"/>
          <w:color w:val="auto"/>
          <w:sz w:val="24"/>
          <w:szCs w:val="32"/>
          <w:highlight w:val="none"/>
          <w:lang w:eastAsia="zh-CN"/>
        </w:rPr>
        <w:t>。</w:t>
      </w:r>
    </w:p>
    <w:p w14:paraId="1D09DC24">
      <w:pPr>
        <w:keepNext w:val="0"/>
        <w:keepLines w:val="0"/>
        <w:pageBreakBefore w:val="0"/>
        <w:kinsoku/>
        <w:wordWrap/>
        <w:overflowPunct w:val="0"/>
        <w:topLinePunct w:val="0"/>
        <w:bidi w:val="0"/>
        <w:snapToGrid/>
        <w:spacing w:line="360" w:lineRule="auto"/>
        <w:ind w:firstLine="480"/>
        <w:textAlignment w:val="auto"/>
        <w:rPr>
          <w:rFonts w:hint="eastAsia" w:ascii="宋体" w:hAnsi="宋体" w:eastAsia="宋体" w:cs="宋体"/>
          <w:b/>
          <w:bCs/>
          <w:color w:val="auto"/>
          <w:sz w:val="24"/>
          <w:highlight w:val="none"/>
        </w:rPr>
      </w:pPr>
      <w:r>
        <w:rPr>
          <w:rFonts w:hint="eastAsia" w:ascii="宋体" w:hAnsi="宋体" w:eastAsia="宋体" w:cs="宋体"/>
          <w:color w:val="auto"/>
          <w:sz w:val="24"/>
          <w:szCs w:val="32"/>
          <w:highlight w:val="none"/>
        </w:rPr>
        <w:t>合同总价包括：</w:t>
      </w:r>
      <w:r>
        <w:rPr>
          <w:rFonts w:hint="eastAsia" w:ascii="宋体" w:hAnsi="宋体" w:eastAsia="宋体" w:cs="宋体"/>
          <w:color w:val="auto"/>
          <w:kern w:val="2"/>
          <w:sz w:val="24"/>
          <w:szCs w:val="24"/>
          <w:highlight w:val="none"/>
          <w:lang w:val="en-US" w:eastAsia="zh-CN" w:bidi="ar-SA"/>
        </w:rPr>
        <w:t>投标报价</w:t>
      </w:r>
      <w:r>
        <w:rPr>
          <w:rFonts w:hint="eastAsia" w:ascii="宋体" w:hAnsi="宋体" w:eastAsia="宋体" w:cs="宋体"/>
          <w:color w:val="auto"/>
          <w:sz w:val="24"/>
          <w:highlight w:val="none"/>
          <w:lang w:val="en-US" w:eastAsia="zh-CN"/>
        </w:rPr>
        <w:t>包括是指完成本项目所需的全部费用（包括但不限于硬件、软件、安装调试、培训、运维、运输、保险、税费、质保等所有费用）。固定总价不因任何因素变化而调整。</w:t>
      </w:r>
    </w:p>
    <w:p w14:paraId="7D7339EB">
      <w:pPr>
        <w:keepNext w:val="0"/>
        <w:keepLines w:val="0"/>
        <w:pageBreakBefore w:val="0"/>
        <w:widowControl w:val="0"/>
        <w:kinsoku/>
        <w:wordWrap/>
        <w:overflowPunct/>
        <w:topLinePunct w:val="0"/>
        <w:autoSpaceDE/>
        <w:autoSpaceDN/>
        <w:bidi w:val="0"/>
        <w:adjustRightInd/>
        <w:snapToGrid/>
        <w:spacing w:line="336" w:lineRule="auto"/>
        <w:textAlignment w:val="baseline"/>
        <w:rPr>
          <w:rFonts w:hint="eastAsia" w:ascii="宋体" w:hAnsi="宋体" w:cs="宋体"/>
          <w:b/>
          <w:bCs/>
          <w:color w:val="auto"/>
          <w:kern w:val="0"/>
          <w:sz w:val="24"/>
          <w:szCs w:val="24"/>
          <w:highlight w:val="none"/>
          <w:u w:val="none" w:color="000000"/>
        </w:rPr>
      </w:pPr>
      <w:r>
        <w:rPr>
          <w:rFonts w:hint="eastAsia" w:ascii="宋体" w:hAnsi="宋体" w:cs="宋体"/>
          <w:b/>
          <w:bCs/>
          <w:color w:val="auto"/>
          <w:kern w:val="0"/>
          <w:sz w:val="24"/>
          <w:szCs w:val="24"/>
          <w:highlight w:val="none"/>
          <w:u w:val="none" w:color="000000"/>
          <w:lang w:val="en-US" w:eastAsia="zh-CN"/>
        </w:rPr>
        <w:t>四、合同</w:t>
      </w:r>
      <w:r>
        <w:rPr>
          <w:rFonts w:hint="eastAsia" w:ascii="宋体" w:hAnsi="宋体" w:cs="宋体"/>
          <w:b/>
          <w:bCs/>
          <w:color w:val="auto"/>
          <w:kern w:val="0"/>
          <w:sz w:val="24"/>
          <w:szCs w:val="24"/>
          <w:highlight w:val="none"/>
          <w:u w:val="none" w:color="000000"/>
        </w:rPr>
        <w:t>结算</w:t>
      </w:r>
    </w:p>
    <w:p w14:paraId="64CBEC1D">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baseline"/>
        <w:rPr>
          <w:rFonts w:hint="eastAsia" w:ascii="宋体" w:hAnsi="宋体" w:eastAsia="宋体" w:cs="宋体"/>
          <w:color w:val="auto"/>
          <w:kern w:val="0"/>
          <w:sz w:val="24"/>
          <w:szCs w:val="24"/>
          <w:highlight w:val="none"/>
          <w:u w:val="none" w:color="000000"/>
        </w:rPr>
      </w:pPr>
      <w:r>
        <w:rPr>
          <w:rFonts w:hint="eastAsia" w:ascii="宋体" w:hAnsi="宋体" w:eastAsia="宋体" w:cs="宋体"/>
          <w:color w:val="auto"/>
          <w:kern w:val="0"/>
          <w:sz w:val="24"/>
          <w:szCs w:val="24"/>
          <w:highlight w:val="none"/>
          <w:u w:val="none" w:color="000000"/>
          <w:lang w:val="en-US" w:eastAsia="zh-CN"/>
        </w:rPr>
        <w:t>1.</w:t>
      </w:r>
      <w:r>
        <w:rPr>
          <w:rFonts w:hint="eastAsia" w:ascii="宋体" w:hAnsi="宋体" w:eastAsia="宋体" w:cs="宋体"/>
          <w:color w:val="auto"/>
          <w:kern w:val="0"/>
          <w:sz w:val="24"/>
          <w:szCs w:val="24"/>
          <w:highlight w:val="none"/>
          <w:u w:val="none" w:color="000000"/>
        </w:rPr>
        <w:t>合同款的支付：以甲方最终签订的合同为准。</w:t>
      </w:r>
    </w:p>
    <w:p w14:paraId="36C9B057">
      <w:pPr>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baseline"/>
        <w:rPr>
          <w:rFonts w:hint="eastAsia" w:ascii="宋体" w:hAnsi="宋体" w:eastAsia="宋体" w:cs="宋体"/>
          <w:color w:val="auto"/>
          <w:kern w:val="0"/>
          <w:sz w:val="24"/>
          <w:szCs w:val="24"/>
          <w:highlight w:val="none"/>
          <w:u w:val="none" w:color="000000"/>
        </w:rPr>
      </w:pPr>
      <w:r>
        <w:rPr>
          <w:rFonts w:hint="eastAsia" w:ascii="宋体" w:hAnsi="宋体" w:eastAsia="宋体" w:cs="宋体"/>
          <w:color w:val="auto"/>
          <w:kern w:val="0"/>
          <w:sz w:val="24"/>
          <w:szCs w:val="24"/>
          <w:highlight w:val="none"/>
          <w:u w:val="none" w:color="000000"/>
          <w:lang w:val="en-US" w:eastAsia="zh-CN"/>
        </w:rPr>
        <w:t>2.</w:t>
      </w:r>
      <w:r>
        <w:rPr>
          <w:rFonts w:hint="eastAsia" w:ascii="宋体" w:hAnsi="宋体" w:eastAsia="宋体" w:cs="宋体"/>
          <w:color w:val="auto"/>
          <w:kern w:val="0"/>
          <w:sz w:val="24"/>
          <w:szCs w:val="24"/>
          <w:highlight w:val="none"/>
          <w:u w:val="none" w:color="000000"/>
        </w:rPr>
        <w:t>支付方式：银行转账。</w:t>
      </w:r>
    </w:p>
    <w:p w14:paraId="061DA849">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lang w:val="en-US" w:eastAsia="zh-CN"/>
        </w:rPr>
        <w:t>3.付款方式：</w:t>
      </w:r>
    </w:p>
    <w:p w14:paraId="0F730704">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1</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预付款支付条款：</w:t>
      </w:r>
    </w:p>
    <w:p w14:paraId="0AE483E7">
      <w:pPr>
        <w:keepNext w:val="0"/>
        <w:keepLines w:val="0"/>
        <w:pageBreakBefore w:val="0"/>
        <w:widowControl/>
        <w:kinsoku/>
        <w:wordWrap/>
        <w:overflowPunct/>
        <w:topLinePunct w:val="0"/>
        <w:autoSpaceDE/>
        <w:autoSpaceDN/>
        <w:bidi w:val="0"/>
        <w:adjustRightInd/>
        <w:snapToGrid/>
        <w:spacing w:line="288" w:lineRule="auto"/>
        <w:ind w:left="0" w:leftChars="0" w:firstLine="638" w:firstLineChars="266"/>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1）本合同设置预付款：</w:t>
      </w:r>
    </w:p>
    <w:p w14:paraId="3FB7CC66">
      <w:pPr>
        <w:keepNext w:val="0"/>
        <w:keepLines w:val="0"/>
        <w:pageBreakBefore w:val="0"/>
        <w:widowControl/>
        <w:kinsoku/>
        <w:wordWrap/>
        <w:overflowPunct/>
        <w:topLinePunct w:val="0"/>
        <w:autoSpaceDE/>
        <w:autoSpaceDN/>
        <w:bidi w:val="0"/>
        <w:adjustRightInd/>
        <w:snapToGrid/>
        <w:spacing w:line="288" w:lineRule="auto"/>
        <w:ind w:left="0" w:leftChars="0" w:firstLine="638" w:firstLineChars="266"/>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2）预付款金额：合同总价</w:t>
      </w:r>
      <w:r>
        <w:rPr>
          <w:rFonts w:hint="eastAsia" w:ascii="宋体" w:hAnsi="宋体" w:eastAsia="宋体" w:cs="宋体"/>
          <w:bCs/>
          <w:color w:val="000000"/>
          <w:sz w:val="24"/>
          <w:szCs w:val="24"/>
          <w:highlight w:val="none"/>
          <w:lang w:val="en-US" w:eastAsia="zh-CN" w:bidi="ar"/>
        </w:rPr>
        <w:t>款</w:t>
      </w:r>
      <w:r>
        <w:rPr>
          <w:rFonts w:hint="eastAsia" w:ascii="宋体" w:hAnsi="宋体" w:eastAsia="宋体" w:cs="宋体"/>
          <w:bCs/>
          <w:color w:val="000000"/>
          <w:sz w:val="24"/>
          <w:szCs w:val="24"/>
          <w:highlight w:val="none"/>
          <w:lang w:bidi="ar"/>
        </w:rPr>
        <w:t>的</w:t>
      </w:r>
      <w:r>
        <w:rPr>
          <w:rFonts w:hint="eastAsia" w:ascii="宋体" w:hAnsi="宋体" w:eastAsia="宋体" w:cs="宋体"/>
          <w:bCs/>
          <w:color w:val="000000"/>
          <w:sz w:val="24"/>
          <w:szCs w:val="24"/>
          <w:highlight w:val="none"/>
          <w:lang w:val="en-US" w:eastAsia="zh-CN" w:bidi="ar"/>
        </w:rPr>
        <w:t>35</w:t>
      </w:r>
      <w:r>
        <w:rPr>
          <w:rFonts w:hint="eastAsia" w:ascii="宋体" w:hAnsi="宋体" w:eastAsia="宋体" w:cs="宋体"/>
          <w:bCs/>
          <w:color w:val="000000"/>
          <w:sz w:val="24"/>
          <w:szCs w:val="24"/>
          <w:highlight w:val="none"/>
          <w:lang w:bidi="ar"/>
        </w:rPr>
        <w:t>%；</w:t>
      </w:r>
    </w:p>
    <w:p w14:paraId="2A302449">
      <w:pPr>
        <w:keepNext w:val="0"/>
        <w:keepLines w:val="0"/>
        <w:pageBreakBefore w:val="0"/>
        <w:widowControl/>
        <w:kinsoku/>
        <w:wordWrap/>
        <w:overflowPunct/>
        <w:topLinePunct w:val="0"/>
        <w:autoSpaceDE/>
        <w:autoSpaceDN/>
        <w:bidi w:val="0"/>
        <w:adjustRightInd/>
        <w:snapToGrid/>
        <w:spacing w:line="288" w:lineRule="auto"/>
        <w:ind w:left="0" w:leftChars="0" w:firstLine="638" w:firstLineChars="266"/>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3）预付款支付条件：</w:t>
      </w:r>
      <w:r>
        <w:rPr>
          <w:rFonts w:hint="eastAsia" w:ascii="宋体" w:hAnsi="宋体" w:eastAsia="宋体" w:cs="宋体"/>
          <w:bCs/>
          <w:color w:val="000000"/>
          <w:sz w:val="24"/>
          <w:szCs w:val="24"/>
          <w:highlight w:val="none"/>
          <w:lang w:eastAsia="zh-CN" w:bidi="ar"/>
        </w:rPr>
        <w:t>合同签订后</w:t>
      </w:r>
      <w:r>
        <w:rPr>
          <w:rFonts w:hint="eastAsia" w:ascii="宋体" w:hAnsi="宋体" w:eastAsia="宋体" w:cs="宋体"/>
          <w:bCs/>
          <w:color w:val="000000"/>
          <w:sz w:val="24"/>
          <w:szCs w:val="24"/>
          <w:highlight w:val="none"/>
          <w:lang w:val="en-US" w:eastAsia="zh-CN" w:bidi="ar"/>
        </w:rPr>
        <w:t>30</w:t>
      </w:r>
      <w:r>
        <w:rPr>
          <w:rFonts w:hint="eastAsia" w:ascii="宋体" w:hAnsi="宋体" w:eastAsia="宋体" w:cs="宋体"/>
          <w:bCs/>
          <w:color w:val="000000"/>
          <w:sz w:val="24"/>
          <w:szCs w:val="24"/>
          <w:highlight w:val="none"/>
          <w:lang w:eastAsia="zh-CN" w:bidi="ar"/>
        </w:rPr>
        <w:t>日内</w:t>
      </w:r>
      <w:r>
        <w:rPr>
          <w:rFonts w:hint="eastAsia" w:ascii="宋体" w:hAnsi="宋体" w:eastAsia="宋体" w:cs="宋体"/>
          <w:bCs/>
          <w:color w:val="000000"/>
          <w:sz w:val="24"/>
          <w:szCs w:val="24"/>
          <w:highlight w:val="none"/>
          <w:lang w:bidi="ar"/>
        </w:rPr>
        <w:t>；</w:t>
      </w:r>
    </w:p>
    <w:p w14:paraId="539A065E">
      <w:pPr>
        <w:keepNext w:val="0"/>
        <w:keepLines w:val="0"/>
        <w:pageBreakBefore w:val="0"/>
        <w:widowControl/>
        <w:kinsoku/>
        <w:wordWrap/>
        <w:overflowPunct/>
        <w:topLinePunct w:val="0"/>
        <w:autoSpaceDE/>
        <w:autoSpaceDN/>
        <w:bidi w:val="0"/>
        <w:adjustRightInd/>
        <w:snapToGrid/>
        <w:spacing w:line="288" w:lineRule="auto"/>
        <w:ind w:left="0" w:leftChars="0" w:firstLine="638" w:firstLineChars="266"/>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bidi="ar"/>
        </w:rPr>
        <w:t>4）其他：本项目预付款是根据政府采购相关政策规定要求，甲方为帮助乙方解决项目前期启动资金困难，保证乙方更有条件履行合同的保障性支援性资金。乙方应保证该资金用于项目前期各项工作费用，不得挪作他用，若因此项目进展受到影响，乙方承担由此引起的所有责任。</w:t>
      </w:r>
    </w:p>
    <w:p w14:paraId="1552A911">
      <w:pPr>
        <w:keepNext w:val="0"/>
        <w:keepLines w:val="0"/>
        <w:pageBreakBefore w:val="0"/>
        <w:widowControl/>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eastAsia="宋体" w:cs="宋体"/>
          <w:bCs/>
          <w:color w:val="000000"/>
          <w:sz w:val="24"/>
          <w:szCs w:val="24"/>
          <w:highlight w:val="none"/>
          <w:lang w:bidi="ar"/>
        </w:rPr>
      </w:pP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val="en-US" w:eastAsia="zh-CN" w:bidi="ar"/>
        </w:rPr>
        <w:t>2</w:t>
      </w:r>
      <w:r>
        <w:rPr>
          <w:rFonts w:hint="eastAsia" w:ascii="宋体" w:hAnsi="宋体" w:eastAsia="宋体" w:cs="宋体"/>
          <w:bCs/>
          <w:color w:val="000000"/>
          <w:sz w:val="24"/>
          <w:szCs w:val="24"/>
          <w:highlight w:val="none"/>
          <w:lang w:eastAsia="zh-CN" w:bidi="ar"/>
        </w:rPr>
        <w:t>）</w:t>
      </w:r>
      <w:r>
        <w:rPr>
          <w:rFonts w:hint="eastAsia" w:ascii="宋体" w:hAnsi="宋体" w:eastAsia="宋体" w:cs="宋体"/>
          <w:bCs/>
          <w:color w:val="000000"/>
          <w:sz w:val="24"/>
          <w:szCs w:val="24"/>
          <w:highlight w:val="none"/>
          <w:lang w:bidi="ar"/>
        </w:rPr>
        <w:t>剩余款项支付条款：</w:t>
      </w:r>
    </w:p>
    <w:p w14:paraId="0121A4D3">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ascii="宋体" w:hAnsi="宋体" w:eastAsia="宋体" w:cs="宋体"/>
          <w:bCs/>
          <w:color w:val="000000"/>
          <w:sz w:val="24"/>
          <w:szCs w:val="24"/>
          <w:highlight w:val="none"/>
          <w:lang w:val="en-US" w:bidi="ar"/>
        </w:rPr>
      </w:pPr>
      <w:r>
        <w:rPr>
          <w:rFonts w:hint="eastAsia" w:ascii="宋体" w:hAnsi="宋体" w:eastAsia="宋体" w:cs="宋体"/>
          <w:bCs/>
          <w:color w:val="000000"/>
          <w:sz w:val="24"/>
          <w:szCs w:val="24"/>
          <w:highlight w:val="none"/>
          <w:lang w:val="en-US" w:eastAsia="zh-CN" w:bidi="ar"/>
        </w:rPr>
        <w:t>交付使用一个月后，支付合同总金额的60%；服务期满一年后，支付合同总金额的5%。</w:t>
      </w:r>
    </w:p>
    <w:p w14:paraId="28A4F856">
      <w:pPr>
        <w:rPr>
          <w:rFonts w:hint="default" w:ascii="宋体" w:hAnsi="宋体" w:eastAsia="宋体" w:cs="宋体"/>
          <w:bCs/>
          <w:color w:val="auto"/>
          <w:sz w:val="24"/>
          <w:highlight w:val="none"/>
          <w:lang w:val="en-US" w:eastAsia="zh-CN"/>
        </w:rPr>
      </w:pPr>
      <w:r>
        <w:rPr>
          <w:rFonts w:hint="eastAsia" w:ascii="宋体" w:hAnsi="宋体" w:eastAsia="宋体" w:cs="宋体"/>
          <w:bCs/>
          <w:color w:val="000000"/>
          <w:sz w:val="24"/>
          <w:szCs w:val="24"/>
          <w:highlight w:val="none"/>
          <w:lang w:bidi="ar"/>
        </w:rPr>
        <w:t>注：乙方应向甲方出具符合国家财税规定的增值税发票，否则甲方有权延迟履行付款义务。如因乙方缘故（如开具增值税发票延误等）导致甲方无法按时付款，甲方不承担违约责任。如遇突发事件，付款日期则以实际付款日期为准。</w:t>
      </w:r>
    </w:p>
    <w:p w14:paraId="562A5E40">
      <w:pPr>
        <w:keepNext w:val="0"/>
        <w:keepLines w:val="0"/>
        <w:pageBreakBefore w:val="0"/>
        <w:widowControl/>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4.</w:t>
      </w:r>
      <w:r>
        <w:rPr>
          <w:rFonts w:hint="eastAsia" w:ascii="宋体" w:hAnsi="宋体" w:eastAsia="宋体" w:cs="宋体"/>
          <w:bCs/>
          <w:color w:val="auto"/>
          <w:sz w:val="24"/>
          <w:highlight w:val="none"/>
        </w:rPr>
        <w:t>乙方开户银行指定账户为：</w:t>
      </w:r>
    </w:p>
    <w:p w14:paraId="11FF4AC9">
      <w:pPr>
        <w:keepNext w:val="0"/>
        <w:keepLines w:val="0"/>
        <w:pageBreakBefore w:val="0"/>
        <w:widowControl/>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收款人：</w:t>
      </w:r>
    </w:p>
    <w:p w14:paraId="4A106607">
      <w:pPr>
        <w:keepNext w:val="0"/>
        <w:keepLines w:val="0"/>
        <w:pageBreakBefore w:val="0"/>
        <w:widowControl/>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开户行：</w:t>
      </w:r>
    </w:p>
    <w:p w14:paraId="08D2FF2C">
      <w:pPr>
        <w:keepNext w:val="0"/>
        <w:keepLines w:val="0"/>
        <w:pageBreakBefore w:val="0"/>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账号：</w:t>
      </w:r>
    </w:p>
    <w:p w14:paraId="2BCDFFB3">
      <w:pPr>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五、</w:t>
      </w:r>
      <w:r>
        <w:rPr>
          <w:rFonts w:hint="eastAsia" w:ascii="宋体" w:hAnsi="宋体" w:eastAsia="宋体" w:cs="宋体"/>
          <w:b/>
          <w:color w:val="auto"/>
          <w:sz w:val="24"/>
          <w:highlight w:val="none"/>
        </w:rPr>
        <w:t>乙方：</w:t>
      </w:r>
      <w:r>
        <w:rPr>
          <w:rFonts w:hint="eastAsia" w:ascii="宋体" w:hAnsi="宋体" w:eastAsia="宋体" w:cs="宋体"/>
          <w:bCs/>
          <w:color w:val="auto"/>
          <w:sz w:val="24"/>
          <w:highlight w:val="none"/>
        </w:rPr>
        <w:t>本项目拟派</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为负责人，联系电话：</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，身份证号：</w:t>
      </w:r>
      <w:r>
        <w:rPr>
          <w:rFonts w:hint="eastAsia" w:ascii="宋体" w:hAnsi="宋体" w:eastAsia="宋体" w:cs="宋体"/>
          <w:bCs/>
          <w:color w:val="auto"/>
          <w:sz w:val="24"/>
          <w:highlight w:val="none"/>
          <w:u w:val="single"/>
        </w:rPr>
        <w:t xml:space="preserve">            </w:t>
      </w:r>
      <w:r>
        <w:rPr>
          <w:rFonts w:hint="eastAsia" w:ascii="宋体" w:hAnsi="宋体" w:eastAsia="宋体" w:cs="宋体"/>
          <w:bCs/>
          <w:color w:val="auto"/>
          <w:sz w:val="24"/>
          <w:highlight w:val="none"/>
        </w:rPr>
        <w:t>。</w:t>
      </w:r>
    </w:p>
    <w:p w14:paraId="49382B86">
      <w:pPr>
        <w:pStyle w:val="3"/>
        <w:keepNext w:val="0"/>
        <w:keepLines w:val="0"/>
        <w:pageBreakBefore w:val="0"/>
        <w:kinsoku/>
        <w:wordWrap/>
        <w:topLinePunct w:val="0"/>
        <w:bidi w:val="0"/>
        <w:snapToGrid/>
        <w:spacing w:line="360" w:lineRule="auto"/>
        <w:textAlignment w:val="auto"/>
        <w:rPr>
          <w:rFonts w:hint="eastAsia" w:ascii="宋体" w:hAnsi="宋体" w:eastAsia="宋体" w:cs="宋体"/>
          <w:b/>
          <w:color w:val="auto"/>
          <w:sz w:val="24"/>
          <w:szCs w:val="24"/>
          <w:highlight w:val="none"/>
          <w:lang w:val="zh-CN"/>
        </w:rPr>
      </w:pPr>
      <w:r>
        <w:rPr>
          <w:rFonts w:hint="eastAsia"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lang w:val="zh-CN"/>
        </w:rPr>
        <w:t>、甲方的主要责任和权利</w:t>
      </w:r>
    </w:p>
    <w:p w14:paraId="3A7FD8B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1.乙方在为甲方提供服务时所形成的成果及成果的知识产权归甲方所有。</w:t>
      </w:r>
    </w:p>
    <w:p w14:paraId="5362433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bCs/>
          <w:sz w:val="24"/>
          <w:szCs w:val="24"/>
          <w:highlight w:val="none"/>
          <w:lang w:eastAsia="zh-CN"/>
        </w:rPr>
        <w:t>甲方有权随时了解乙方的工作进展情况，并对服务过程进行监督检查</w:t>
      </w:r>
      <w:r>
        <w:rPr>
          <w:rFonts w:hint="eastAsia" w:ascii="宋体" w:hAnsi="宋体" w:eastAsia="宋体" w:cs="宋体"/>
          <w:sz w:val="24"/>
          <w:highlight w:val="none"/>
        </w:rPr>
        <w:t>。</w:t>
      </w:r>
    </w:p>
    <w:p w14:paraId="58D939E6">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3</w:t>
      </w:r>
      <w:r>
        <w:rPr>
          <w:rFonts w:hint="eastAsia" w:ascii="宋体" w:hAnsi="宋体" w:eastAsia="宋体" w:cs="宋体"/>
          <w:sz w:val="24"/>
          <w:highlight w:val="none"/>
          <w:lang w:eastAsia="zh-CN"/>
        </w:rPr>
        <w:t>.</w:t>
      </w:r>
      <w:r>
        <w:rPr>
          <w:rFonts w:hint="eastAsia" w:ascii="宋体" w:hAnsi="宋体" w:eastAsia="宋体" w:cs="宋体"/>
          <w:sz w:val="24"/>
          <w:highlight w:val="none"/>
        </w:rPr>
        <w:t>乙方违反甲方工作纪律，造成不良影响的,甲方可提请乙方无条件更换</w:t>
      </w:r>
      <w:r>
        <w:rPr>
          <w:rFonts w:hint="eastAsia" w:ascii="宋体" w:hAnsi="宋体" w:eastAsia="宋体" w:cs="宋体"/>
          <w:sz w:val="24"/>
          <w:highlight w:val="none"/>
          <w:lang w:eastAsia="zh-CN"/>
        </w:rPr>
        <w:t>服务</w:t>
      </w:r>
      <w:r>
        <w:rPr>
          <w:rFonts w:hint="eastAsia" w:ascii="宋体" w:hAnsi="宋体" w:eastAsia="宋体" w:cs="宋体"/>
          <w:sz w:val="24"/>
          <w:highlight w:val="none"/>
        </w:rPr>
        <w:t>人员,乙方应在8小时内作出响应,在不影响工作的前提下,5个工作日内补充人员到位；如经甲方研究认定造成严重影响的，除要求乙方无条件更换</w:t>
      </w:r>
      <w:r>
        <w:rPr>
          <w:rFonts w:hint="eastAsia" w:ascii="宋体" w:hAnsi="宋体" w:eastAsia="宋体" w:cs="宋体"/>
          <w:sz w:val="24"/>
          <w:highlight w:val="none"/>
          <w:lang w:eastAsia="zh-CN"/>
        </w:rPr>
        <w:t>服务</w:t>
      </w:r>
      <w:r>
        <w:rPr>
          <w:rFonts w:hint="eastAsia" w:ascii="宋体" w:hAnsi="宋体" w:eastAsia="宋体" w:cs="宋体"/>
          <w:sz w:val="24"/>
          <w:highlight w:val="none"/>
        </w:rPr>
        <w:t>人员外，</w:t>
      </w:r>
      <w:r>
        <w:rPr>
          <w:rFonts w:hint="eastAsia" w:ascii="宋体" w:hAnsi="宋体" w:eastAsia="宋体" w:cs="宋体"/>
          <w:sz w:val="24"/>
          <w:highlight w:val="none"/>
          <w:lang w:val="en-US" w:eastAsia="zh-CN"/>
        </w:rPr>
        <w:t>应向甲方支付合同总额20%违约金，违约金不足甲方损失的，乙方应全额补足。</w:t>
      </w:r>
    </w:p>
    <w:p w14:paraId="3961B41F">
      <w:pPr>
        <w:keepNext w:val="0"/>
        <w:keepLines w:val="0"/>
        <w:pageBreakBefore w:val="0"/>
        <w:kinsoku/>
        <w:wordWrap/>
        <w:topLinePunct w:val="0"/>
        <w:bidi w:val="0"/>
        <w:snapToGrid/>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乙方在服务期间出现重大失误的,甲方有权</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协议,并</w:t>
      </w:r>
      <w:r>
        <w:rPr>
          <w:rFonts w:hint="eastAsia" w:ascii="宋体" w:hAnsi="宋体" w:eastAsia="宋体" w:cs="宋体"/>
          <w:sz w:val="24"/>
          <w:highlight w:val="none"/>
          <w:lang w:val="en-US" w:eastAsia="zh-CN"/>
        </w:rPr>
        <w:t>要求</w:t>
      </w:r>
      <w:r>
        <w:rPr>
          <w:rFonts w:hint="eastAsia" w:ascii="宋体" w:hAnsi="宋体" w:eastAsia="宋体" w:cs="宋体"/>
          <w:sz w:val="24"/>
          <w:highlight w:val="none"/>
        </w:rPr>
        <w:t>乙方</w:t>
      </w:r>
      <w:r>
        <w:rPr>
          <w:rFonts w:hint="eastAsia" w:ascii="宋体" w:hAnsi="宋体" w:eastAsia="宋体" w:cs="宋体"/>
          <w:sz w:val="24"/>
          <w:highlight w:val="none"/>
          <w:lang w:val="en-US" w:eastAsia="zh-CN"/>
        </w:rPr>
        <w:t>支付合同总额20%违约金。</w:t>
      </w:r>
    </w:p>
    <w:p w14:paraId="03F6DB4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5.甲方支持乙方的工作，按合同保证乙方责任和权</w:t>
      </w:r>
      <w:r>
        <w:rPr>
          <w:rFonts w:hint="eastAsia" w:ascii="宋体" w:hAnsi="宋体" w:eastAsia="宋体" w:cs="宋体"/>
          <w:sz w:val="24"/>
          <w:highlight w:val="none"/>
          <w:lang w:val="en-US" w:eastAsia="zh-CN"/>
        </w:rPr>
        <w:t>利</w:t>
      </w:r>
      <w:r>
        <w:rPr>
          <w:rFonts w:hint="eastAsia" w:ascii="宋体" w:hAnsi="宋体" w:eastAsia="宋体" w:cs="宋体"/>
          <w:sz w:val="24"/>
          <w:highlight w:val="none"/>
        </w:rPr>
        <w:t>的统一。</w:t>
      </w:r>
    </w:p>
    <w:p w14:paraId="5C088126">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6.甲方有权阐述对具体问题的意见和建议。</w:t>
      </w:r>
    </w:p>
    <w:p w14:paraId="44926CE5">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、乙方的主要责任和权利</w:t>
      </w:r>
    </w:p>
    <w:p w14:paraId="7BA2AA5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1.乙方必须具有履行本合同书所需的技能，必须按照相关的职业准则完成其全部职责。</w:t>
      </w:r>
    </w:p>
    <w:p w14:paraId="48250D09">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.对甲方提供的基础资料、数据、信息等严格保密。</w:t>
      </w:r>
    </w:p>
    <w:p w14:paraId="2219E89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3.乙方定期对服务工作进行情况分析,向甲方提出意见和建议,不断改进完善服务工作。</w:t>
      </w:r>
    </w:p>
    <w:p w14:paraId="2582B1EA">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4.乙方服务人员若被发现有任何影响甲方正常岗位工作的行为,乙方管理人员应及时处置。</w:t>
      </w:r>
    </w:p>
    <w:p w14:paraId="5E813E03">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5.在服务期间,乙方服务人员需保证所使用设施设备的完好、完整,若由于操作或使用不当造成设备损坏或丢失,须原价赔偿。</w:t>
      </w:r>
    </w:p>
    <w:p w14:paraId="6E199136">
      <w:pPr>
        <w:keepNext w:val="0"/>
        <w:keepLines w:val="0"/>
        <w:pageBreakBefore w:val="0"/>
        <w:kinsoku/>
        <w:wordWrap/>
        <w:overflowPunct/>
        <w:topLinePunct w:val="0"/>
        <w:autoSpaceDE/>
        <w:autoSpaceDN/>
        <w:bidi w:val="0"/>
        <w:adjustRightInd/>
        <w:snapToGrid w:val="0"/>
        <w:spacing w:line="360" w:lineRule="auto"/>
        <w:ind w:firstLine="480" w:firstLineChars="200"/>
        <w:jc w:val="left"/>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.乙方人员服务期中发生任何安全问题均与甲方无关，乙方应确保项目人员均购买人身保险。</w:t>
      </w:r>
    </w:p>
    <w:p w14:paraId="5516938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en-US" w:eastAsia="zh-CN"/>
        </w:rPr>
      </w:pPr>
      <w:r>
        <w:rPr>
          <w:rFonts w:hint="eastAsia" w:ascii="宋体" w:hAnsi="宋体" w:eastAsia="宋体" w:cs="宋体"/>
          <w:b/>
          <w:color w:val="auto"/>
          <w:highlight w:val="none"/>
          <w:lang w:val="en-US" w:eastAsia="zh-CN"/>
        </w:rPr>
        <w:t>七、</w:t>
      </w:r>
      <w:r>
        <w:rPr>
          <w:rFonts w:hint="eastAsia" w:ascii="宋体" w:hAnsi="宋体" w:eastAsia="宋体" w:cs="宋体"/>
          <w:b/>
          <w:color w:val="auto"/>
          <w:highlight w:val="none"/>
          <w:lang w:val="zh-CN" w:eastAsia="zh-CN"/>
        </w:rPr>
        <w:t>知识产权</w:t>
      </w:r>
    </w:p>
    <w:p w14:paraId="6D87685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019F4B18">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2.若乙方在为甲方提供服务时侵犯了第三人的权利，致使甲方受到索赔或起诉，由此给甲方造成的一切损失由乙方承担，同时甲方有权解除合同，同时乙方及时消除不良影响。</w:t>
      </w:r>
    </w:p>
    <w:p w14:paraId="5612F54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3.若未经甲方许可，乙方擅自使用或向第三方披露或许可第三方使用在为甲方提供服务时所获得的成果，甲方有权要求乙方或第三方停止侵权，并承担以此带来的所有损失，同时消除不良影响。</w:t>
      </w:r>
    </w:p>
    <w:p w14:paraId="0CF1B809">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highlight w:val="none"/>
          <w:lang w:val="en-US" w:eastAsia="zh-CN"/>
        </w:rPr>
        <w:t>八、</w:t>
      </w:r>
      <w:r>
        <w:rPr>
          <w:rFonts w:hint="eastAsia" w:ascii="宋体" w:hAnsi="宋体" w:eastAsia="宋体" w:cs="宋体"/>
          <w:b/>
          <w:bCs/>
          <w:color w:val="auto"/>
          <w:kern w:val="2"/>
          <w:sz w:val="24"/>
          <w:szCs w:val="24"/>
          <w:highlight w:val="none"/>
          <w:lang w:val="en-US" w:eastAsia="zh-CN" w:bidi="ar-SA"/>
        </w:rPr>
        <w:t>验收</w:t>
      </w:r>
    </w:p>
    <w:p w14:paraId="31B59A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验收时间：项目完成后</w:t>
      </w:r>
    </w:p>
    <w:p w14:paraId="796826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质量标准：</w:t>
      </w:r>
      <w:r>
        <w:rPr>
          <w:rFonts w:hint="eastAsia" w:ascii="宋体" w:hAnsi="宋体" w:eastAsia="宋体" w:cs="宋体"/>
          <w:color w:val="auto"/>
          <w:sz w:val="24"/>
          <w:highlight w:val="none"/>
        </w:rPr>
        <w:t>符合国家有关现行规范、标准的要求</w:t>
      </w:r>
      <w:r>
        <w:rPr>
          <w:rFonts w:hint="eastAsia" w:ascii="宋体" w:hAnsi="宋体" w:eastAsia="宋体" w:cs="宋体"/>
          <w:color w:val="auto"/>
          <w:kern w:val="2"/>
          <w:sz w:val="24"/>
          <w:szCs w:val="24"/>
          <w:highlight w:val="none"/>
          <w:lang w:val="en-US" w:eastAsia="zh-CN" w:bidi="ar-SA"/>
        </w:rPr>
        <w:t>。</w:t>
      </w:r>
    </w:p>
    <w:p w14:paraId="2D1144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验收合格条件：符合国家标准和技术规格书及合同要求，符合竞争性磋商文件、成交供应商的磋商文件、澄清文件和成交通知书的要求等,乙方应严格按照上述及采购人要求实施项目服务，甲方有权对服务质量进行评估，若服务评估结果不合格，乙方应负责无偿予以重测或采取补救措施，以达到质量要求。若返工后还无法通过验收，甲方有权单方解除合同，乙方应自收到通知之日起七日内退还全部已付项目款。</w:t>
      </w:r>
    </w:p>
    <w:p w14:paraId="780E9015">
      <w:pPr>
        <w:pStyle w:val="7"/>
        <w:keepNext w:val="0"/>
        <w:keepLines w:val="0"/>
        <w:pageBreakBefore w:val="0"/>
        <w:tabs>
          <w:tab w:val="left" w:pos="1134"/>
          <w:tab w:val="left" w:pos="1418"/>
        </w:tabs>
        <w:kinsoku/>
        <w:wordWrap/>
        <w:topLinePunct w:val="0"/>
        <w:bidi w:val="0"/>
        <w:adjustRightInd w:val="0"/>
        <w:snapToGrid/>
        <w:spacing w:line="360" w:lineRule="auto"/>
        <w:ind w:left="0" w:leftChars="0" w:firstLine="0" w:firstLineChars="0"/>
        <w:textAlignment w:val="auto"/>
        <w:rPr>
          <w:rFonts w:hint="eastAsia" w:ascii="宋体" w:hAnsi="宋体" w:eastAsia="宋体" w:cs="宋体"/>
          <w:b/>
          <w:color w:val="auto"/>
          <w:highlight w:val="none"/>
          <w:lang w:val="zh-CN" w:eastAsia="zh-CN"/>
        </w:rPr>
      </w:pPr>
      <w:r>
        <w:rPr>
          <w:rFonts w:hint="eastAsia" w:ascii="宋体" w:hAnsi="宋体" w:eastAsia="宋体" w:cs="宋体"/>
          <w:b/>
          <w:color w:val="auto"/>
          <w:highlight w:val="none"/>
          <w:lang w:val="en-US" w:eastAsia="zh-CN"/>
        </w:rPr>
        <w:t>九</w:t>
      </w:r>
      <w:r>
        <w:rPr>
          <w:rFonts w:hint="eastAsia" w:ascii="宋体" w:hAnsi="宋体" w:eastAsia="宋体" w:cs="宋体"/>
          <w:b/>
          <w:color w:val="auto"/>
          <w:highlight w:val="none"/>
          <w:lang w:val="zh-CN" w:eastAsia="zh-CN"/>
        </w:rPr>
        <w:t>、保密</w:t>
      </w:r>
    </w:p>
    <w:p w14:paraId="4C8D0079">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cs="宋体"/>
          <w:bCs/>
          <w:color w:val="auto"/>
          <w:sz w:val="24"/>
          <w:szCs w:val="24"/>
          <w:highlight w:val="none"/>
          <w:lang w:val="en-US" w:eastAsia="zh-CN"/>
        </w:rPr>
        <w:t>.</w:t>
      </w:r>
      <w:r>
        <w:rPr>
          <w:rFonts w:hint="eastAsia" w:ascii="宋体" w:hAnsi="宋体" w:eastAsia="宋体" w:cs="宋体"/>
          <w:bCs/>
          <w:color w:val="auto"/>
          <w:sz w:val="24"/>
          <w:szCs w:val="24"/>
          <w:highlight w:val="none"/>
        </w:rPr>
        <w:t>乙方服务人员应对在本合同履行过程中所接触的甲方任何保密信息，均负有保密责任，不得向任何第三方透露、使用，并且不得透露任何关于获取（接触）相关信息的手段与方式。</w:t>
      </w:r>
    </w:p>
    <w:p w14:paraId="08AFBC1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bCs/>
          <w:color w:val="auto"/>
          <w:sz w:val="24"/>
          <w:szCs w:val="24"/>
          <w:highlight w:val="none"/>
        </w:rPr>
        <w:t>2</w:t>
      </w:r>
      <w:r>
        <w:rPr>
          <w:rFonts w:hint="eastAsia" w:ascii="宋体" w:hAnsi="宋体" w:cs="宋体"/>
          <w:bCs/>
          <w:color w:val="auto"/>
          <w:sz w:val="24"/>
          <w:szCs w:val="24"/>
          <w:highlight w:val="none"/>
          <w:lang w:val="en-US" w:eastAsia="zh-CN"/>
        </w:rPr>
        <w:t>.</w:t>
      </w:r>
      <w:r>
        <w:rPr>
          <w:rFonts w:hint="eastAsia" w:ascii="宋体" w:hAnsi="宋体" w:eastAsia="宋体" w:cs="宋体"/>
          <w:bCs/>
          <w:color w:val="auto"/>
          <w:sz w:val="24"/>
          <w:szCs w:val="24"/>
          <w:highlight w:val="none"/>
        </w:rPr>
        <w:t>乙方应管理和教育好服务人员遵守甲方的保密规定。如果服务人员违</w:t>
      </w:r>
      <w:r>
        <w:rPr>
          <w:rFonts w:hint="eastAsia" w:ascii="宋体" w:hAnsi="宋体" w:eastAsia="宋体" w:cs="宋体"/>
          <w:color w:val="auto"/>
          <w:kern w:val="0"/>
          <w:sz w:val="24"/>
          <w:szCs w:val="24"/>
          <w:highlight w:val="none"/>
        </w:rPr>
        <w:t>反甲方的保密要求、或乙方视频监控相关资料给甲方造成损失，甲方有权追究乙方的责任，应遵循以下规定：</w:t>
      </w:r>
    </w:p>
    <w:p w14:paraId="3A62354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（1）应以审慎态度避免泄露、公开或传播甲方的信息；</w:t>
      </w:r>
    </w:p>
    <w:p w14:paraId="204B42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（2）未经甲方书面许可，不得对信息进行修改有关、补充、复制；</w:t>
      </w:r>
    </w:p>
    <w:p w14:paraId="1058356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（3）未经甲方许可，不得将信息以任何方式(如E－mail)携带出服务场地；</w:t>
      </w:r>
    </w:p>
    <w:p w14:paraId="3A9B967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（4）未经甲方许可，不得将信息透露给任何其他人；</w:t>
      </w:r>
    </w:p>
    <w:p w14:paraId="230DA0D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（5）甲方以书面形式提出的其他保密措施。</w:t>
      </w:r>
    </w:p>
    <w:p w14:paraId="6BBF4DA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保密期限不受合同有效期的限制，在合同及</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有效期结束后，乙方仍应承担保密义务，直至该等信息成为公开信息。</w:t>
      </w:r>
    </w:p>
    <w:p w14:paraId="3F1928A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w:t>
      </w:r>
      <w:r>
        <w:rPr>
          <w:rFonts w:hint="eastAsia" w:ascii="宋体" w:hAnsi="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乙方如出现泄密行为应承担相关的法律责任，包括但是不限于对由此给甲方造成的经济损失进行赔偿。</w:t>
      </w:r>
    </w:p>
    <w:p w14:paraId="22AC46F2">
      <w:pPr>
        <w:pStyle w:val="8"/>
        <w:keepNext w:val="0"/>
        <w:keepLines w:val="0"/>
        <w:pageBreakBefore w:val="0"/>
        <w:kinsoku/>
        <w:wordWrap/>
        <w:topLinePunct w:val="0"/>
        <w:bidi w:val="0"/>
        <w:snapToGrid/>
        <w:spacing w:line="360" w:lineRule="auto"/>
        <w:ind w:left="0" w:leftChars="0" w:firstLine="0" w:firstLineChars="0"/>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w:t>
      </w:r>
      <w:r>
        <w:rPr>
          <w:rFonts w:hint="eastAsia" w:ascii="宋体" w:hAnsi="宋体" w:eastAsia="宋体" w:cs="宋体"/>
          <w:b/>
          <w:bCs/>
          <w:color w:val="auto"/>
          <w:sz w:val="24"/>
          <w:highlight w:val="none"/>
        </w:rPr>
        <w:t>、不可抗力</w:t>
      </w:r>
    </w:p>
    <w:p w14:paraId="23E81256">
      <w:pPr>
        <w:pStyle w:val="8"/>
        <w:keepNext w:val="0"/>
        <w:keepLines w:val="0"/>
        <w:pageBreakBefore w:val="0"/>
        <w:kinsoku/>
        <w:wordWrap/>
        <w:topLinePunct w:val="0"/>
        <w:bidi w:val="0"/>
        <w:snapToGrid/>
        <w:spacing w:line="360" w:lineRule="auto"/>
        <w:ind w:firstLine="480"/>
        <w:textAlignment w:val="auto"/>
        <w:rPr>
          <w:rFonts w:hint="eastAsia" w:ascii="宋体" w:hAnsi="宋体" w:eastAsia="宋体" w:cs="宋体"/>
          <w:bCs/>
          <w:color w:val="auto"/>
          <w:sz w:val="24"/>
          <w:highlight w:val="none"/>
        </w:rPr>
      </w:pPr>
      <w:r>
        <w:rPr>
          <w:rFonts w:hint="eastAsia" w:ascii="宋体" w:hAnsi="宋体" w:eastAsia="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64D9FB0B">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2.遭受不可抗力一方应在不可抗力事故发生后尽快以书面形式通知另一方；并在事故发生后</w:t>
      </w:r>
      <w:r>
        <w:rPr>
          <w:rFonts w:hint="eastAsia" w:ascii="宋体" w:hAnsi="宋体" w:eastAsia="宋体" w:cs="宋体"/>
          <w:color w:val="auto"/>
          <w:sz w:val="24"/>
          <w:highlight w:val="none"/>
          <w:u w:val="single"/>
        </w:rPr>
        <w:t>十（10）</w:t>
      </w:r>
      <w:r>
        <w:rPr>
          <w:rFonts w:hint="eastAsia" w:ascii="宋体" w:hAnsi="宋体" w:eastAsia="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color w:val="auto"/>
          <w:sz w:val="24"/>
          <w:highlight w:val="none"/>
          <w:u w:val="single"/>
        </w:rPr>
        <w:t>二十（20）</w:t>
      </w:r>
      <w:r>
        <w:rPr>
          <w:rFonts w:hint="eastAsia" w:ascii="宋体" w:hAnsi="宋体" w:eastAsia="宋体" w:cs="宋体"/>
          <w:color w:val="auto"/>
          <w:sz w:val="24"/>
          <w:highlight w:val="none"/>
        </w:rPr>
        <w:t>个日历日以上，双方应通过友好协商在合理的时间内达成进一步履行合同或终止合同的协议。</w:t>
      </w:r>
    </w:p>
    <w:p w14:paraId="4F1B2518">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十一</w:t>
      </w:r>
      <w:r>
        <w:rPr>
          <w:rFonts w:hint="eastAsia" w:ascii="宋体" w:hAnsi="宋体" w:eastAsia="宋体" w:cs="宋体"/>
          <w:b/>
          <w:bCs/>
          <w:color w:val="auto"/>
          <w:sz w:val="24"/>
          <w:highlight w:val="none"/>
        </w:rPr>
        <w:t>、税费</w:t>
      </w:r>
    </w:p>
    <w:p w14:paraId="0AEB31A0">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1.中国政府根据现行税法对乙方征收的与本合同有关的一切税费均由乙方负担。</w:t>
      </w:r>
    </w:p>
    <w:p w14:paraId="0B38214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2.在中国境外发生的与本合同执行有关的一切税费均由乙方负担。</w:t>
      </w:r>
    </w:p>
    <w:p w14:paraId="4F914E79">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二</w:t>
      </w:r>
      <w:r>
        <w:rPr>
          <w:rFonts w:hint="eastAsia" w:ascii="宋体" w:hAnsi="宋体" w:eastAsia="宋体" w:cs="宋体"/>
          <w:b/>
          <w:bCs/>
          <w:color w:val="auto"/>
          <w:sz w:val="24"/>
          <w:highlight w:val="none"/>
        </w:rPr>
        <w:t>、破产终止合同</w:t>
      </w:r>
    </w:p>
    <w:p w14:paraId="0A5A3127">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63B247F6">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三</w:t>
      </w:r>
      <w:r>
        <w:rPr>
          <w:rFonts w:hint="eastAsia" w:ascii="宋体" w:hAnsi="宋体" w:eastAsia="宋体" w:cs="宋体"/>
          <w:b/>
          <w:bCs/>
          <w:color w:val="auto"/>
          <w:sz w:val="24"/>
          <w:highlight w:val="none"/>
        </w:rPr>
        <w:t>、转让</w:t>
      </w:r>
    </w:p>
    <w:p w14:paraId="0841892D">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22EE918B">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十</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val="zh-CN"/>
        </w:rPr>
        <w:t>、违约责任</w:t>
      </w:r>
    </w:p>
    <w:p w14:paraId="075B858D">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1.按《中华人民共和国民法典》中的相关条款执行。</w:t>
      </w:r>
    </w:p>
    <w:p w14:paraId="62B04653">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2.未按合同或磋商文件要求提供服务，质量不能满足甲方技术要求，采购单位有权终止合同，</w:t>
      </w:r>
      <w:r>
        <w:rPr>
          <w:rFonts w:hint="eastAsia" w:ascii="宋体" w:hAnsi="宋体" w:eastAsia="宋体" w:cs="宋体"/>
          <w:color w:val="auto"/>
          <w:highlight w:val="none"/>
          <w:lang w:val="en-US" w:eastAsia="zh-CN"/>
        </w:rPr>
        <w:t>并按照合同总额20%向甲方承担违约责任</w:t>
      </w:r>
      <w:r>
        <w:rPr>
          <w:rFonts w:hint="eastAsia" w:ascii="宋体" w:hAnsi="宋体" w:eastAsia="宋体" w:cs="宋体"/>
          <w:color w:val="auto"/>
          <w:highlight w:val="none"/>
          <w:lang w:eastAsia="zh-CN"/>
        </w:rPr>
        <w:t>。</w:t>
      </w:r>
    </w:p>
    <w:p w14:paraId="5635BF01">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3.乙方由于自身过错，延误按本合同规定的时间</w:t>
      </w:r>
      <w:r>
        <w:rPr>
          <w:rFonts w:hint="eastAsia" w:ascii="宋体" w:hAnsi="宋体" w:eastAsia="宋体" w:cs="宋体"/>
          <w:color w:val="auto"/>
          <w:highlight w:val="none"/>
          <w:lang w:val="en-US" w:eastAsia="zh-CN"/>
        </w:rPr>
        <w:t>完成服务</w:t>
      </w:r>
      <w:r>
        <w:rPr>
          <w:rFonts w:hint="eastAsia" w:ascii="宋体" w:hAnsi="宋体" w:eastAsia="宋体" w:cs="宋体"/>
          <w:color w:val="auto"/>
          <w:highlight w:val="none"/>
          <w:lang w:eastAsia="zh-CN"/>
        </w:rPr>
        <w:t>，每延误一天，应减收本合同总额的2‰作为延误违约金。</w:t>
      </w:r>
    </w:p>
    <w:p w14:paraId="419BF206">
      <w:pPr>
        <w:pStyle w:val="7"/>
        <w:keepNext w:val="0"/>
        <w:keepLines w:val="0"/>
        <w:pageBreakBefore w:val="0"/>
        <w:widowControl w:val="0"/>
        <w:tabs>
          <w:tab w:val="left" w:pos="1134"/>
          <w:tab w:val="left" w:pos="1418"/>
        </w:tabs>
        <w:kinsoku/>
        <w:wordWrap/>
        <w:topLinePunct w:val="0"/>
        <w:bidi w:val="0"/>
        <w:adjustRightInd w:val="0"/>
        <w:snapToGrid/>
        <w:spacing w:line="360" w:lineRule="auto"/>
        <w:ind w:left="0" w:firstLine="480" w:firstLineChars="200"/>
        <w:textAlignment w:val="auto"/>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4.本合同所约定的因乙方原因导致甲方单方面解除合同的，乙方应退还甲方全部已付款，并向甲方支付合同总额20%违约金，违约金不足甲方损失的，乙方应全额补足。</w:t>
      </w:r>
    </w:p>
    <w:p w14:paraId="23D66546">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五</w:t>
      </w:r>
      <w:r>
        <w:rPr>
          <w:rFonts w:hint="eastAsia" w:ascii="宋体" w:hAnsi="宋体" w:eastAsia="宋体" w:cs="宋体"/>
          <w:b/>
          <w:bCs/>
          <w:color w:val="auto"/>
          <w:sz w:val="24"/>
          <w:highlight w:val="none"/>
        </w:rPr>
        <w:t>、合同争议和解决办法</w:t>
      </w:r>
    </w:p>
    <w:p w14:paraId="46DB7EAF">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甲、乙双方应本着友好合作、积极协商的态度，严格履行本协议，因不可预见的因素或本协议未尽事宜发生争议，由双方协商解决,协商不成时</w:t>
      </w:r>
      <w:r>
        <w:rPr>
          <w:rFonts w:hint="eastAsia" w:asciiTheme="minorEastAsia" w:hAnsiTheme="minorEastAsia" w:eastAsiaTheme="minorEastAsia" w:cstheme="minorEastAsia"/>
          <w:color w:val="auto"/>
          <w:kern w:val="0"/>
          <w:sz w:val="24"/>
          <w:szCs w:val="24"/>
          <w:highlight w:val="none"/>
        </w:rPr>
        <w:t>向</w:t>
      </w:r>
      <w:r>
        <w:rPr>
          <w:rFonts w:hint="eastAsia" w:asciiTheme="minorEastAsia" w:hAnsiTheme="minorEastAsia" w:eastAsiaTheme="minorEastAsia" w:cstheme="minorEastAsia"/>
          <w:color w:val="auto"/>
          <w:kern w:val="0"/>
          <w:sz w:val="24"/>
          <w:szCs w:val="24"/>
          <w:highlight w:val="none"/>
          <w:lang w:eastAsia="zh-CN"/>
        </w:rPr>
        <w:t>甲方所在地</w:t>
      </w:r>
      <w:r>
        <w:rPr>
          <w:rFonts w:hint="eastAsia" w:asciiTheme="minorEastAsia" w:hAnsiTheme="minorEastAsia" w:eastAsiaTheme="minorEastAsia" w:cstheme="minorEastAsia"/>
          <w:color w:val="auto"/>
          <w:kern w:val="0"/>
          <w:sz w:val="24"/>
          <w:szCs w:val="24"/>
          <w:highlight w:val="none"/>
        </w:rPr>
        <w:t>人民法院提起诉讼。</w:t>
      </w:r>
    </w:p>
    <w:p w14:paraId="458A0883">
      <w:pPr>
        <w:keepNext w:val="0"/>
        <w:keepLines w:val="0"/>
        <w:pageBreakBefore w:val="0"/>
        <w:kinsoku/>
        <w:wordWrap/>
        <w:topLinePunct w:val="0"/>
        <w:bidi w:val="0"/>
        <w:snapToGrid/>
        <w:spacing w:line="360" w:lineRule="auto"/>
        <w:textAlignment w:val="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十</w:t>
      </w:r>
      <w:r>
        <w:rPr>
          <w:rFonts w:hint="eastAsia" w:ascii="宋体" w:hAnsi="宋体" w:eastAsia="宋体" w:cs="宋体"/>
          <w:b/>
          <w:bCs/>
          <w:color w:val="auto"/>
          <w:sz w:val="24"/>
          <w:highlight w:val="none"/>
          <w:lang w:val="en-US" w:eastAsia="zh-CN"/>
        </w:rPr>
        <w:t>六</w:t>
      </w:r>
      <w:r>
        <w:rPr>
          <w:rFonts w:hint="eastAsia" w:ascii="宋体" w:hAnsi="宋体" w:eastAsia="宋体" w:cs="宋体"/>
          <w:b/>
          <w:bCs/>
          <w:color w:val="auto"/>
          <w:sz w:val="24"/>
          <w:highlight w:val="none"/>
        </w:rPr>
        <w:t>、其他事项</w:t>
      </w:r>
    </w:p>
    <w:p w14:paraId="179B1A4E">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b w:val="0"/>
          <w:bCs w:val="0"/>
          <w:color w:val="auto"/>
          <w:kern w:val="0"/>
          <w:sz w:val="24"/>
          <w:szCs w:val="24"/>
          <w:highlight w:val="none"/>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采购人需追加与合同标的相同的货物、工程或者服务的，在不改变合同其他条款的前提下，可以与供应商协商签订补充合同，但所有补充合同的采购金额不得超过原合同采购金额的百分之十。</w:t>
      </w:r>
    </w:p>
    <w:p w14:paraId="30DDF61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kern w:val="0"/>
          <w:sz w:val="24"/>
          <w:szCs w:val="24"/>
          <w:highlight w:val="none"/>
          <w:lang w:val="en-US" w:eastAsia="zh-CN"/>
        </w:rPr>
        <w:t>2.</w:t>
      </w:r>
      <w:r>
        <w:rPr>
          <w:rFonts w:hint="eastAsia" w:ascii="宋体" w:hAnsi="宋体" w:eastAsia="宋体" w:cs="宋体"/>
          <w:color w:val="auto"/>
          <w:sz w:val="24"/>
          <w:highlight w:val="none"/>
        </w:rPr>
        <w:t>未尽事宜，双方协商解决。在本合同履行过程中将双方达成的书面补充协议是本合同不可分割的组成部分，与本合同具有同等效力。</w:t>
      </w:r>
    </w:p>
    <w:p w14:paraId="5AA74F0C">
      <w:pPr>
        <w:keepNext w:val="0"/>
        <w:keepLines w:val="0"/>
        <w:pageBreakBefore w:val="0"/>
        <w:kinsoku/>
        <w:wordWrap/>
        <w:topLinePunct w:val="0"/>
        <w:bidi w:val="0"/>
        <w:snapToGrid/>
        <w:spacing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.本合同正本一式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份，副本一式</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份，均以中文书写，在双方代表签字盖章后生效，甲方执正本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份；乙方执正本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份，副本</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份；政府采购管理部门备案副本一份，均具有同等法律效力。</w:t>
      </w:r>
    </w:p>
    <w:p w14:paraId="00D240DE">
      <w:pPr>
        <w:keepNext w:val="0"/>
        <w:keepLines w:val="0"/>
        <w:pageBreakBefore w:val="0"/>
        <w:kinsoku/>
        <w:wordWrap/>
        <w:topLinePunct w:val="0"/>
        <w:bidi w:val="0"/>
        <w:snapToGrid/>
        <w:spacing w:line="360" w:lineRule="auto"/>
        <w:ind w:firstLine="480" w:firstLineChars="200"/>
        <w:textAlignment w:val="auto"/>
        <w:rPr>
          <w:rFonts w:hint="eastAsia"/>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.本合同自双方签字盖章之日起生效，合同执行完毕自动失效（合同的服务承诺长期有效）。</w:t>
      </w:r>
    </w:p>
    <w:tbl>
      <w:tblPr>
        <w:tblStyle w:val="5"/>
        <w:tblW w:w="0" w:type="auto"/>
        <w:jc w:val="center"/>
        <w:tblLayout w:type="fixed"/>
        <w:tblCellMar>
          <w:top w:w="0" w:type="dxa"/>
          <w:left w:w="108" w:type="dxa"/>
          <w:bottom w:w="0" w:type="dxa"/>
          <w:right w:w="108" w:type="dxa"/>
        </w:tblCellMar>
      </w:tblPr>
      <w:tblGrid>
        <w:gridCol w:w="4201"/>
        <w:gridCol w:w="4202"/>
      </w:tblGrid>
      <w:tr w14:paraId="7B0D8D6C">
        <w:tblPrEx>
          <w:tblCellMar>
            <w:top w:w="0" w:type="dxa"/>
            <w:left w:w="108" w:type="dxa"/>
            <w:bottom w:w="0" w:type="dxa"/>
            <w:right w:w="108" w:type="dxa"/>
          </w:tblCellMar>
        </w:tblPrEx>
        <w:trPr>
          <w:trHeight w:val="484" w:hRule="exact"/>
          <w:jc w:val="center"/>
        </w:trPr>
        <w:tc>
          <w:tcPr>
            <w:tcW w:w="4201" w:type="dxa"/>
            <w:noWrap w:val="0"/>
            <w:vAlign w:val="center"/>
          </w:tcPr>
          <w:p w14:paraId="7774F73B">
            <w:pPr>
              <w:keepNext w:val="0"/>
              <w:keepLines w:val="0"/>
              <w:pageBreakBefore w:val="0"/>
              <w:widowControl w:val="0"/>
              <w:kinsoku/>
              <w:wordWrap/>
              <w:overflowPunct/>
              <w:topLinePunct w:val="0"/>
              <w:autoSpaceDE/>
              <w:autoSpaceDN/>
              <w:bidi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甲方</w:t>
            </w:r>
          </w:p>
        </w:tc>
        <w:tc>
          <w:tcPr>
            <w:tcW w:w="4202" w:type="dxa"/>
            <w:noWrap w:val="0"/>
            <w:vAlign w:val="center"/>
          </w:tcPr>
          <w:p w14:paraId="7F2CF64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乙方</w:t>
            </w:r>
          </w:p>
        </w:tc>
      </w:tr>
      <w:tr w14:paraId="29564A6E">
        <w:tblPrEx>
          <w:tblCellMar>
            <w:top w:w="0" w:type="dxa"/>
            <w:left w:w="108" w:type="dxa"/>
            <w:bottom w:w="0" w:type="dxa"/>
            <w:right w:w="108" w:type="dxa"/>
          </w:tblCellMar>
        </w:tblPrEx>
        <w:trPr>
          <w:trHeight w:val="467" w:hRule="exact"/>
          <w:jc w:val="center"/>
        </w:trPr>
        <w:tc>
          <w:tcPr>
            <w:tcW w:w="4201" w:type="dxa"/>
            <w:noWrap w:val="0"/>
            <w:vAlign w:val="center"/>
          </w:tcPr>
          <w:p w14:paraId="0E78543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c>
          <w:tcPr>
            <w:tcW w:w="4202" w:type="dxa"/>
            <w:noWrap w:val="0"/>
            <w:vAlign w:val="center"/>
          </w:tcPr>
          <w:p w14:paraId="70A68FA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（盖章）</w:t>
            </w:r>
          </w:p>
        </w:tc>
      </w:tr>
      <w:tr w14:paraId="04199833">
        <w:tblPrEx>
          <w:tblCellMar>
            <w:top w:w="0" w:type="dxa"/>
            <w:left w:w="108" w:type="dxa"/>
            <w:bottom w:w="0" w:type="dxa"/>
            <w:right w:w="108" w:type="dxa"/>
          </w:tblCellMar>
        </w:tblPrEx>
        <w:trPr>
          <w:trHeight w:val="501" w:hRule="exact"/>
          <w:jc w:val="center"/>
        </w:trPr>
        <w:tc>
          <w:tcPr>
            <w:tcW w:w="4201" w:type="dxa"/>
            <w:noWrap w:val="0"/>
            <w:vAlign w:val="center"/>
          </w:tcPr>
          <w:p w14:paraId="504C5E3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c>
          <w:tcPr>
            <w:tcW w:w="4202" w:type="dxa"/>
            <w:noWrap w:val="0"/>
            <w:vAlign w:val="center"/>
          </w:tcPr>
          <w:p w14:paraId="6371B9CD">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tc>
      </w:tr>
      <w:tr w14:paraId="32E37F64">
        <w:tblPrEx>
          <w:tblCellMar>
            <w:top w:w="0" w:type="dxa"/>
            <w:left w:w="108" w:type="dxa"/>
            <w:bottom w:w="0" w:type="dxa"/>
            <w:right w:w="108" w:type="dxa"/>
          </w:tblCellMar>
        </w:tblPrEx>
        <w:trPr>
          <w:trHeight w:val="450" w:hRule="exact"/>
          <w:jc w:val="center"/>
        </w:trPr>
        <w:tc>
          <w:tcPr>
            <w:tcW w:w="4201" w:type="dxa"/>
            <w:noWrap w:val="0"/>
            <w:vAlign w:val="center"/>
          </w:tcPr>
          <w:p w14:paraId="767DFFD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c>
          <w:tcPr>
            <w:tcW w:w="4202" w:type="dxa"/>
            <w:noWrap w:val="0"/>
            <w:vAlign w:val="center"/>
          </w:tcPr>
          <w:p w14:paraId="306A5B55">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邮编：</w:t>
            </w:r>
          </w:p>
        </w:tc>
      </w:tr>
      <w:tr w14:paraId="06E1DD1E">
        <w:tblPrEx>
          <w:tblCellMar>
            <w:top w:w="0" w:type="dxa"/>
            <w:left w:w="108" w:type="dxa"/>
            <w:bottom w:w="0" w:type="dxa"/>
            <w:right w:w="108" w:type="dxa"/>
          </w:tblCellMar>
        </w:tblPrEx>
        <w:trPr>
          <w:trHeight w:val="533" w:hRule="exact"/>
          <w:jc w:val="center"/>
        </w:trPr>
        <w:tc>
          <w:tcPr>
            <w:tcW w:w="4201" w:type="dxa"/>
            <w:noWrap w:val="0"/>
            <w:vAlign w:val="center"/>
          </w:tcPr>
          <w:p w14:paraId="1E403C6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c>
          <w:tcPr>
            <w:tcW w:w="4202" w:type="dxa"/>
            <w:noWrap w:val="0"/>
            <w:vAlign w:val="center"/>
          </w:tcPr>
          <w:p w14:paraId="25361D7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p>
        </w:tc>
      </w:tr>
      <w:tr w14:paraId="762E1E34">
        <w:tblPrEx>
          <w:tblCellMar>
            <w:top w:w="0" w:type="dxa"/>
            <w:left w:w="108" w:type="dxa"/>
            <w:bottom w:w="0" w:type="dxa"/>
            <w:right w:w="108" w:type="dxa"/>
          </w:tblCellMar>
        </w:tblPrEx>
        <w:trPr>
          <w:trHeight w:val="533" w:hRule="exact"/>
          <w:jc w:val="center"/>
        </w:trPr>
        <w:tc>
          <w:tcPr>
            <w:tcW w:w="4201" w:type="dxa"/>
            <w:noWrap w:val="0"/>
            <w:vAlign w:val="center"/>
          </w:tcPr>
          <w:p w14:paraId="4555A13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c>
          <w:tcPr>
            <w:tcW w:w="4202" w:type="dxa"/>
            <w:noWrap w:val="0"/>
            <w:vAlign w:val="center"/>
          </w:tcPr>
          <w:p w14:paraId="7AC3159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p>
        </w:tc>
      </w:tr>
      <w:tr w14:paraId="21E3B782">
        <w:tblPrEx>
          <w:tblCellMar>
            <w:top w:w="0" w:type="dxa"/>
            <w:left w:w="108" w:type="dxa"/>
            <w:bottom w:w="0" w:type="dxa"/>
            <w:right w:w="108" w:type="dxa"/>
          </w:tblCellMar>
        </w:tblPrEx>
        <w:trPr>
          <w:trHeight w:val="500" w:hRule="exact"/>
          <w:jc w:val="center"/>
        </w:trPr>
        <w:tc>
          <w:tcPr>
            <w:tcW w:w="4201" w:type="dxa"/>
            <w:noWrap w:val="0"/>
            <w:vAlign w:val="center"/>
          </w:tcPr>
          <w:p w14:paraId="51F81CF8">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c>
          <w:tcPr>
            <w:tcW w:w="4202" w:type="dxa"/>
            <w:noWrap w:val="0"/>
            <w:vAlign w:val="center"/>
          </w:tcPr>
          <w:p w14:paraId="6E93929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电话：</w:t>
            </w:r>
          </w:p>
        </w:tc>
      </w:tr>
      <w:tr w14:paraId="142F3429">
        <w:tblPrEx>
          <w:tblCellMar>
            <w:top w:w="0" w:type="dxa"/>
            <w:left w:w="108" w:type="dxa"/>
            <w:bottom w:w="0" w:type="dxa"/>
            <w:right w:w="108" w:type="dxa"/>
          </w:tblCellMar>
        </w:tblPrEx>
        <w:trPr>
          <w:trHeight w:val="467" w:hRule="exact"/>
          <w:jc w:val="center"/>
        </w:trPr>
        <w:tc>
          <w:tcPr>
            <w:tcW w:w="4201" w:type="dxa"/>
            <w:noWrap w:val="0"/>
            <w:vAlign w:val="center"/>
          </w:tcPr>
          <w:p w14:paraId="3F3D670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c>
          <w:tcPr>
            <w:tcW w:w="4202" w:type="dxa"/>
            <w:noWrap w:val="0"/>
            <w:vAlign w:val="center"/>
          </w:tcPr>
          <w:p w14:paraId="6449C40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传真：</w:t>
            </w:r>
          </w:p>
        </w:tc>
      </w:tr>
      <w:tr w14:paraId="2C730D6E">
        <w:tblPrEx>
          <w:tblCellMar>
            <w:top w:w="0" w:type="dxa"/>
            <w:left w:w="108" w:type="dxa"/>
            <w:bottom w:w="0" w:type="dxa"/>
            <w:right w:w="108" w:type="dxa"/>
          </w:tblCellMar>
        </w:tblPrEx>
        <w:trPr>
          <w:trHeight w:val="567" w:hRule="exact"/>
          <w:jc w:val="center"/>
        </w:trPr>
        <w:tc>
          <w:tcPr>
            <w:tcW w:w="4201" w:type="dxa"/>
            <w:noWrap w:val="0"/>
            <w:vAlign w:val="center"/>
          </w:tcPr>
          <w:p w14:paraId="6A2E726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c>
          <w:tcPr>
            <w:tcW w:w="4202" w:type="dxa"/>
            <w:noWrap w:val="0"/>
            <w:vAlign w:val="center"/>
          </w:tcPr>
          <w:p w14:paraId="6DC967F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开户银行：</w:t>
            </w:r>
          </w:p>
        </w:tc>
      </w:tr>
      <w:tr w14:paraId="033C42B8">
        <w:tblPrEx>
          <w:tblCellMar>
            <w:top w:w="0" w:type="dxa"/>
            <w:left w:w="108" w:type="dxa"/>
            <w:bottom w:w="0" w:type="dxa"/>
            <w:right w:w="108" w:type="dxa"/>
          </w:tblCellMar>
        </w:tblPrEx>
        <w:trPr>
          <w:trHeight w:val="567" w:hRule="exact"/>
          <w:jc w:val="center"/>
        </w:trPr>
        <w:tc>
          <w:tcPr>
            <w:tcW w:w="4201" w:type="dxa"/>
            <w:noWrap w:val="0"/>
            <w:vAlign w:val="center"/>
          </w:tcPr>
          <w:p w14:paraId="51FD96E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p>
        </w:tc>
        <w:tc>
          <w:tcPr>
            <w:tcW w:w="4202" w:type="dxa"/>
            <w:noWrap w:val="0"/>
            <w:vAlign w:val="center"/>
          </w:tcPr>
          <w:p w14:paraId="48BE0B7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p>
        </w:tc>
      </w:tr>
    </w:tbl>
    <w:p w14:paraId="417D21D6">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66EE8">
    <w:pPr>
      <w:pStyle w:val="4"/>
      <w:tabs>
        <w:tab w:val="center" w:pos="4153"/>
        <w:tab w:val="right"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6ECA4E">
                          <w:pPr>
                            <w:pStyle w:val="4"/>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6ECA4E">
                    <w:pPr>
                      <w:pStyle w:val="4"/>
                    </w:pPr>
                    <w:r>
                      <w:fldChar w:fldCharType="begin"/>
                    </w:r>
                    <w:r>
                      <w:instrText xml:space="preserve"> PAGE  \* MERGEFORMAT </w:instrText>
                    </w:r>
                    <w:r>
                      <w:fldChar w:fldCharType="separate"/>
                    </w:r>
                    <w:r>
                      <w:t>- 4 -</w:t>
                    </w:r>
                    <w:r>
                      <w:fldChar w:fldCharType="end"/>
                    </w:r>
                  </w:p>
                </w:txbxContent>
              </v:textbox>
            </v:shape>
          </w:pict>
        </mc:Fallback>
      </mc:AlternateContent>
    </w:r>
  </w:p>
  <w:p w14:paraId="7E0EA505">
    <w:pPr>
      <w:pStyle w:val="4"/>
      <w:tabs>
        <w:tab w:val="center" w:pos="4153"/>
        <w:tab w:val="right" w:pos="8306"/>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F7C88">
    <w:pPr>
      <w:pStyle w:val="4"/>
      <w:tabs>
        <w:tab w:val="center" w:pos="4153"/>
        <w:tab w:val="right" w:pos="8306"/>
      </w:tabs>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F1EE76">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4F1EE76">
                    <w:pPr>
                      <w:pStyle w:val="4"/>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5A26FB"/>
    <w:rsid w:val="175A2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footer"/>
    <w:basedOn w:val="1"/>
    <w:qFormat/>
    <w:uiPriority w:val="99"/>
    <w:pPr>
      <w:snapToGrid w:val="0"/>
      <w:jc w:val="left"/>
    </w:pPr>
    <w:rPr>
      <w:sz w:val="18"/>
      <w:szCs w:val="18"/>
    </w:rPr>
  </w:style>
  <w:style w:type="paragraph" w:styleId="7">
    <w:name w:val="List Paragraph"/>
    <w:basedOn w:val="1"/>
    <w:autoRedefine/>
    <w:qFormat/>
    <w:uiPriority w:val="34"/>
    <w:pPr>
      <w:widowControl/>
      <w:spacing w:line="240" w:lineRule="auto"/>
      <w:ind w:left="720"/>
      <w:contextualSpacing/>
      <w:jc w:val="left"/>
    </w:pPr>
    <w:rPr>
      <w:rFonts w:ascii="Calibri" w:hAnsi="Calibri"/>
      <w:kern w:val="0"/>
      <w:sz w:val="24"/>
      <w:lang w:eastAsia="en-US" w:bidi="en-US"/>
    </w:rPr>
  </w:style>
  <w:style w:type="paragraph" w:customStyle="1" w:styleId="8">
    <w:name w:val="列出段落1"/>
    <w:basedOn w:val="1"/>
    <w:autoRedefine/>
    <w:qFormat/>
    <w:uiPriority w:val="0"/>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2026-04-24T05:42:00Z</dcterms:created>
  <dc:creator>哆啦</dc:creator>
  <cp:lastModifiedBy>哆啦</cp:lastModifiedBy>
  <dcterms:modified xsi:type="dcterms:W3CDTF">2026-04-24T05:43:04Z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D208FA51B13541EEBE266A3B3A1FAA91_11</vt:lpwstr>
  </property>
  <property fmtid="{D5CDD505-2E9C-101B-9397-08002B2CF9AE}" pid="4" name="KSOTemplateDocerSaveRecord">
    <vt:lpwstr>eyJoZGlkIjoiMjA4OWRlZGM1ODAwNDJhMTNmNjUzY2IwODY1ZTNjNjIiLCJ1c2VySWQiOiI1OTYzODM3NjIifQ==</vt:lpwstr>
  </property>
</Properties>
</file>