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版本号：CGZC-2026-023、XACH2026-02320260408001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学生公寓管理服务项目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CGZC-2026-023、XACH2026-023</w:t>
      </w:r>
      <w:r>
        <w:br/>
      </w:r>
      <w:r>
        <w:br/>
      </w:r>
      <w:r>
        <w:br/>
      </w:r>
    </w:p>
    <w:p>
      <w:pPr>
        <w:pStyle w:val="null3"/>
        <w:jc w:val="center"/>
        <w:outlineLvl w:val="2"/>
      </w:pPr>
      <w:r>
        <w:rPr>
          <w:rFonts w:ascii="仿宋_GB2312" w:hAnsi="仿宋_GB2312" w:cs="仿宋_GB2312" w:eastAsia="仿宋_GB2312"/>
          <w:sz w:val="28"/>
          <w:b/>
        </w:rPr>
        <w:t>西安市西大附中浐灞中学</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西安市西大附中浐灞中学</w:t>
      </w:r>
      <w:r>
        <w:rPr>
          <w:rFonts w:ascii="仿宋_GB2312" w:hAnsi="仿宋_GB2312" w:cs="仿宋_GB2312" w:eastAsia="仿宋_GB2312"/>
        </w:rPr>
        <w:t>委托，拟对</w:t>
      </w:r>
      <w:r>
        <w:rPr>
          <w:rFonts w:ascii="仿宋_GB2312" w:hAnsi="仿宋_GB2312" w:cs="仿宋_GB2312" w:eastAsia="仿宋_GB2312"/>
        </w:rPr>
        <w:t>学生公寓管理服务项目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CGZC-2026-023、XACH2026-023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学生公寓管理服务项目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西安市西大附中浐灞中学学生公寓管理服务项目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复印件，并提供被授权委托人在本单位缴纳社保的证明材料（法定代表人参加磋商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西安市西大附中浐灞中学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西安市未央区谭家街道浐灞二路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029-86685501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刘娜娜、单云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029-87563729、029-82285837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西安市西大附中浐灞中学</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西安市西大附中浐灞中学</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西安市西大附中浐灞中学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联系人：刘娜娜</w:t>
      </w:r>
    </w:p>
    <w:p>
      <w:pPr>
        <w:pStyle w:val="null3"/>
      </w:pPr>
      <w:r>
        <w:rPr>
          <w:rFonts w:ascii="仿宋_GB2312" w:hAnsi="仿宋_GB2312" w:cs="仿宋_GB2312" w:eastAsia="仿宋_GB2312"/>
        </w:rPr>
        <w:t>联系电话：029-87563729、029-82285837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西安市西大附中浐灞中学学生公寓管理服务项目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320,400.00</w:t>
      </w:r>
    </w:p>
    <w:p>
      <w:pPr>
        <w:pStyle w:val="null3"/>
      </w:pPr>
      <w:r>
        <w:rPr>
          <w:rFonts w:ascii="仿宋_GB2312" w:hAnsi="仿宋_GB2312" w:cs="仿宋_GB2312" w:eastAsia="仿宋_GB2312"/>
        </w:rPr>
        <w:t>采购包最高限价（元）: 272,400.00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西安市西大附中浐灞中学学生公寓管理服务项目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标的名称：西安市西大附中浐灞中学学生公寓管理服务项目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b/>
                <w:color w:val="000000"/>
              </w:rPr>
              <w:t>一、</w:t>
            </w:r>
            <w:r>
              <w:rPr>
                <w:rFonts w:ascii="仿宋_GB2312" w:hAnsi="仿宋_GB2312" w:cs="仿宋_GB2312" w:eastAsia="仿宋_GB2312"/>
                <w:sz w:val="28"/>
                <w:b/>
                <w:color w:val="000000"/>
              </w:rPr>
              <w:t>项目概况</w:t>
            </w:r>
          </w:p>
          <w:p>
            <w:pPr>
              <w:pStyle w:val="null3"/>
              <w:jc w:val="left"/>
            </w:pPr>
            <w:r>
              <w:rPr>
                <w:rFonts w:ascii="仿宋_GB2312" w:hAnsi="仿宋_GB2312" w:cs="仿宋_GB2312" w:eastAsia="仿宋_GB2312"/>
                <w:sz w:val="28"/>
                <w:color w:val="000000"/>
              </w:rPr>
              <w:t>西大附中浐灞中学有两栋学生公寓楼，男女公寓楼共计</w:t>
            </w:r>
            <w:r>
              <w:rPr>
                <w:rFonts w:ascii="仿宋_GB2312" w:hAnsi="仿宋_GB2312" w:cs="仿宋_GB2312" w:eastAsia="仿宋_GB2312"/>
                <w:sz w:val="28"/>
                <w:color w:val="000000"/>
              </w:rPr>
              <w:t>8层，目前入住学生约650人。</w:t>
            </w:r>
          </w:p>
          <w:p>
            <w:pPr>
              <w:pStyle w:val="null3"/>
              <w:jc w:val="left"/>
            </w:pPr>
            <w:r>
              <w:rPr>
                <w:rFonts w:ascii="仿宋_GB2312" w:hAnsi="仿宋_GB2312" w:cs="仿宋_GB2312" w:eastAsia="仿宋_GB2312"/>
                <w:sz w:val="28"/>
                <w:b/>
                <w:color w:val="000000"/>
              </w:rPr>
              <w:t>二、商务要求</w:t>
            </w:r>
          </w:p>
          <w:p>
            <w:pPr>
              <w:pStyle w:val="null3"/>
              <w:jc w:val="left"/>
            </w:pPr>
            <w:r>
              <w:rPr>
                <w:rFonts w:ascii="仿宋_GB2312" w:hAnsi="仿宋_GB2312" w:cs="仿宋_GB2312" w:eastAsia="仿宋_GB2312"/>
                <w:sz w:val="28"/>
                <w:color w:val="000000"/>
              </w:rPr>
              <w:t>1、服务期限：自合同签订之日起180日历天</w:t>
            </w:r>
          </w:p>
          <w:p>
            <w:pPr>
              <w:pStyle w:val="null3"/>
              <w:jc w:val="left"/>
            </w:pPr>
            <w:r>
              <w:rPr>
                <w:rFonts w:ascii="仿宋_GB2312" w:hAnsi="仿宋_GB2312" w:cs="仿宋_GB2312" w:eastAsia="仿宋_GB2312"/>
                <w:sz w:val="28"/>
                <w:color w:val="000000"/>
              </w:rPr>
              <w:t>2、服务地点：西安市西大附中浐灞中学</w:t>
            </w:r>
          </w:p>
          <w:p>
            <w:pPr>
              <w:pStyle w:val="null3"/>
              <w:jc w:val="left"/>
            </w:pPr>
            <w:r>
              <w:rPr>
                <w:rFonts w:ascii="仿宋_GB2312" w:hAnsi="仿宋_GB2312" w:cs="仿宋_GB2312" w:eastAsia="仿宋_GB2312"/>
                <w:sz w:val="28"/>
                <w:color w:val="000000"/>
              </w:rPr>
              <w:t>3、最高限价：272400.00元</w:t>
            </w:r>
          </w:p>
          <w:p>
            <w:pPr>
              <w:pStyle w:val="null3"/>
              <w:jc w:val="left"/>
            </w:pPr>
            <w:r>
              <w:rPr>
                <w:rFonts w:ascii="仿宋_GB2312" w:hAnsi="仿宋_GB2312" w:cs="仿宋_GB2312" w:eastAsia="仿宋_GB2312"/>
                <w:sz w:val="28"/>
                <w:color w:val="000000"/>
              </w:rPr>
              <w:t>各供应商磋商报价不得超过本项目最高限价，否则按无效标处理。</w:t>
            </w:r>
          </w:p>
          <w:p>
            <w:pPr>
              <w:pStyle w:val="null3"/>
              <w:jc w:val="left"/>
            </w:pPr>
            <w:r>
              <w:rPr>
                <w:rFonts w:ascii="仿宋_GB2312" w:hAnsi="仿宋_GB2312" w:cs="仿宋_GB2312" w:eastAsia="仿宋_GB2312"/>
                <w:sz w:val="28"/>
                <w:b/>
                <w:color w:val="000000"/>
              </w:rPr>
              <w:t>三、</w:t>
            </w:r>
            <w:r>
              <w:rPr>
                <w:rFonts w:ascii="仿宋_GB2312" w:hAnsi="仿宋_GB2312" w:cs="仿宋_GB2312" w:eastAsia="仿宋_GB2312"/>
                <w:sz w:val="28"/>
                <w:b/>
                <w:color w:val="000000"/>
              </w:rPr>
              <w:t>整体服务要求</w:t>
            </w:r>
          </w:p>
          <w:p>
            <w:pPr>
              <w:pStyle w:val="null3"/>
            </w:pPr>
            <w:r>
              <w:rPr>
                <w:rFonts w:ascii="仿宋_GB2312" w:hAnsi="仿宋_GB2312" w:cs="仿宋_GB2312" w:eastAsia="仿宋_GB2312"/>
                <w:sz w:val="28"/>
                <w:color w:val="000000"/>
              </w:rPr>
              <w:t>1.维护学校公寓及浴室公共秩序、落实安全防范措施，确保安全稳定;</w:t>
            </w:r>
          </w:p>
          <w:p>
            <w:pPr>
              <w:pStyle w:val="null3"/>
            </w:pPr>
            <w:r>
              <w:rPr>
                <w:rFonts w:ascii="仿宋_GB2312" w:hAnsi="仿宋_GB2312" w:cs="仿宋_GB2312" w:eastAsia="仿宋_GB2312"/>
                <w:sz w:val="28"/>
                <w:color w:val="000000"/>
              </w:rPr>
              <w:t>2.不定期对学生进行国防知识教育及军事模拟训练;</w:t>
            </w:r>
          </w:p>
          <w:p>
            <w:pPr>
              <w:pStyle w:val="null3"/>
            </w:pPr>
            <w:r>
              <w:rPr>
                <w:rFonts w:ascii="仿宋_GB2312" w:hAnsi="仿宋_GB2312" w:cs="仿宋_GB2312" w:eastAsia="仿宋_GB2312"/>
                <w:sz w:val="28"/>
                <w:color w:val="000000"/>
              </w:rPr>
              <w:t>3.对学生的内务卫生整理进行督促、指导，确保学生内务整齐划一，不留卫生死角;</w:t>
            </w:r>
          </w:p>
          <w:p>
            <w:pPr>
              <w:pStyle w:val="null3"/>
            </w:pPr>
            <w:r>
              <w:rPr>
                <w:rFonts w:ascii="仿宋_GB2312" w:hAnsi="仿宋_GB2312" w:cs="仿宋_GB2312" w:eastAsia="仿宋_GB2312"/>
                <w:sz w:val="28"/>
                <w:color w:val="000000"/>
              </w:rPr>
              <w:t>4.督促、指导学生落实一日生活制度，对学生作风纪律养成进行培养;</w:t>
            </w:r>
          </w:p>
          <w:p>
            <w:pPr>
              <w:pStyle w:val="null3"/>
            </w:pPr>
            <w:r>
              <w:rPr>
                <w:rFonts w:ascii="仿宋_GB2312" w:hAnsi="仿宋_GB2312" w:cs="仿宋_GB2312" w:eastAsia="仿宋_GB2312"/>
                <w:sz w:val="28"/>
                <w:color w:val="000000"/>
              </w:rPr>
              <w:t>5.配合、协助德育处、班主任加强学生管理和教育工作;</w:t>
            </w:r>
          </w:p>
          <w:p>
            <w:pPr>
              <w:pStyle w:val="null3"/>
            </w:pPr>
            <w:r>
              <w:rPr>
                <w:rFonts w:ascii="仿宋_GB2312" w:hAnsi="仿宋_GB2312" w:cs="仿宋_GB2312" w:eastAsia="仿宋_GB2312"/>
                <w:sz w:val="28"/>
                <w:color w:val="000000"/>
              </w:rPr>
              <w:t>6.及时向学校、班主任和家长反馈学生在公寓表现情况并做好记录;</w:t>
            </w:r>
          </w:p>
          <w:p>
            <w:pPr>
              <w:pStyle w:val="null3"/>
            </w:pPr>
            <w:r>
              <w:rPr>
                <w:rFonts w:ascii="仿宋_GB2312" w:hAnsi="仿宋_GB2312" w:cs="仿宋_GB2312" w:eastAsia="仿宋_GB2312"/>
                <w:sz w:val="28"/>
                <w:color w:val="000000"/>
              </w:rPr>
              <w:t>7.进行男生、女生和教师公寓及周边区域日常保洁、消毒作业并做好记录，避免传染疾病的蔓延;</w:t>
            </w:r>
          </w:p>
          <w:p>
            <w:pPr>
              <w:pStyle w:val="null3"/>
            </w:pPr>
            <w:r>
              <w:rPr>
                <w:rFonts w:ascii="仿宋_GB2312" w:hAnsi="仿宋_GB2312" w:cs="仿宋_GB2312" w:eastAsia="仿宋_GB2312"/>
                <w:sz w:val="28"/>
                <w:color w:val="000000"/>
              </w:rPr>
              <w:t>8.按照学校要求设置隔离宿舍，并对应急隔离宿舍进行常规管理;</w:t>
            </w:r>
          </w:p>
          <w:p>
            <w:pPr>
              <w:pStyle w:val="null3"/>
            </w:pPr>
            <w:r>
              <w:rPr>
                <w:rFonts w:ascii="仿宋_GB2312" w:hAnsi="仿宋_GB2312" w:cs="仿宋_GB2312" w:eastAsia="仿宋_GB2312"/>
                <w:sz w:val="28"/>
                <w:color w:val="000000"/>
              </w:rPr>
              <w:t>9.对学生宿舍长进行管理，通过各种有效方式了解学生思想和学生中存在的矛盾，及时化解、及时反映;</w:t>
            </w:r>
          </w:p>
          <w:p>
            <w:pPr>
              <w:pStyle w:val="null3"/>
            </w:pPr>
            <w:r>
              <w:rPr>
                <w:rFonts w:ascii="仿宋_GB2312" w:hAnsi="仿宋_GB2312" w:cs="仿宋_GB2312" w:eastAsia="仿宋_GB2312"/>
                <w:sz w:val="28"/>
                <w:color w:val="000000"/>
              </w:rPr>
              <w:t>10.对学生宿舍内务、学生在宿舍表现等进行量化综合评比;</w:t>
            </w:r>
          </w:p>
          <w:p>
            <w:pPr>
              <w:pStyle w:val="null3"/>
            </w:pPr>
            <w:r>
              <w:rPr>
                <w:rFonts w:ascii="仿宋_GB2312" w:hAnsi="仿宋_GB2312" w:cs="仿宋_GB2312" w:eastAsia="仿宋_GB2312"/>
                <w:sz w:val="28"/>
                <w:color w:val="000000"/>
              </w:rPr>
              <w:t>11.对住宿生晚自习秩序进行管理，全程到岗;</w:t>
            </w:r>
          </w:p>
          <w:p>
            <w:pPr>
              <w:pStyle w:val="null3"/>
            </w:pPr>
            <w:r>
              <w:rPr>
                <w:rFonts w:ascii="仿宋_GB2312" w:hAnsi="仿宋_GB2312" w:cs="仿宋_GB2312" w:eastAsia="仿宋_GB2312"/>
                <w:sz w:val="28"/>
                <w:color w:val="000000"/>
              </w:rPr>
              <w:t>12.对学生午休工作进行统筹安排和秩序管理，保障安全、卫生;</w:t>
            </w:r>
          </w:p>
          <w:p>
            <w:pPr>
              <w:pStyle w:val="null3"/>
            </w:pPr>
            <w:r>
              <w:rPr>
                <w:rFonts w:ascii="仿宋_GB2312" w:hAnsi="仿宋_GB2312" w:cs="仿宋_GB2312" w:eastAsia="仿宋_GB2312"/>
                <w:sz w:val="28"/>
                <w:color w:val="000000"/>
              </w:rPr>
              <w:t>13.对住校学生的洗浴做出安排，负责洗浴打卡、秩序管理、安全管理及浴室卫生等;</w:t>
            </w:r>
          </w:p>
          <w:p>
            <w:pPr>
              <w:pStyle w:val="null3"/>
            </w:pPr>
            <w:r>
              <w:rPr>
                <w:rFonts w:ascii="仿宋_GB2312" w:hAnsi="仿宋_GB2312" w:cs="仿宋_GB2312" w:eastAsia="仿宋_GB2312"/>
                <w:sz w:val="28"/>
                <w:color w:val="000000"/>
              </w:rPr>
              <w:t>14.对公寓内外的所有设施设备、库房及物品进行管理。</w:t>
            </w:r>
          </w:p>
          <w:p>
            <w:pPr>
              <w:pStyle w:val="null3"/>
            </w:pPr>
            <w:r>
              <w:rPr>
                <w:rFonts w:ascii="仿宋_GB2312" w:hAnsi="仿宋_GB2312" w:cs="仿宋_GB2312" w:eastAsia="仿宋_GB2312"/>
                <w:sz w:val="28"/>
                <w:color w:val="000000"/>
              </w:rPr>
              <w:t>15.工作人员到岗、请假、调休、节假日值班安排等，向学校报备。</w:t>
            </w:r>
          </w:p>
          <w:p>
            <w:pPr>
              <w:pStyle w:val="null3"/>
            </w:pPr>
            <w:r>
              <w:rPr>
                <w:rFonts w:ascii="仿宋_GB2312" w:hAnsi="仿宋_GB2312" w:cs="仿宋_GB2312" w:eastAsia="仿宋_GB2312"/>
                <w:sz w:val="28"/>
                <w:b/>
                <w:color w:val="000000"/>
              </w:rPr>
              <w:t>四、技术要求</w:t>
            </w:r>
          </w:p>
          <w:p>
            <w:pPr>
              <w:pStyle w:val="null3"/>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要求及时高效的提供高质量的学生公寓管理与服务。</w:t>
            </w:r>
          </w:p>
          <w:p>
            <w:pPr>
              <w:pStyle w:val="null3"/>
              <w:jc w:val="left"/>
            </w:pPr>
            <w:r>
              <w:rPr>
                <w:rFonts w:ascii="仿宋_GB2312" w:hAnsi="仿宋_GB2312" w:cs="仿宋_GB2312" w:eastAsia="仿宋_GB2312"/>
                <w:sz w:val="28"/>
                <w:b/>
              </w:rPr>
              <w:t>五、岗位投入人数及要求：</w:t>
            </w:r>
          </w:p>
          <w:tbl>
            <w:tblPr>
              <w:tblInd w:type="dxa" w:w="120"/>
              <w:tblBorders>
                <w:top w:val="none" w:color="000000" w:sz="4"/>
                <w:left w:val="none" w:color="000000" w:sz="4"/>
                <w:bottom w:val="none" w:color="000000" w:sz="4"/>
                <w:right w:val="none" w:color="000000" w:sz="4"/>
                <w:insideH w:val="none"/>
                <w:insideV w:val="none"/>
              </w:tblBorders>
            </w:tblPr>
            <w:tblGrid>
              <w:gridCol w:w="264"/>
              <w:gridCol w:w="670"/>
              <w:gridCol w:w="423"/>
              <w:gridCol w:w="1197"/>
            </w:tblGrid>
            <w:tr>
              <w:tc>
                <w:tcPr>
                  <w:tcW w:type="dxa" w:w="264"/>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8"/>
                    </w:rPr>
                    <w:t>序号</w:t>
                  </w:r>
                </w:p>
              </w:tc>
              <w:tc>
                <w:tcPr>
                  <w:tcW w:type="dxa" w:w="670"/>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8"/>
                    </w:rPr>
                    <w:t>岗位名称</w:t>
                  </w:r>
                </w:p>
              </w:tc>
              <w:tc>
                <w:tcPr>
                  <w:tcW w:type="dxa" w:w="423"/>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8"/>
                    </w:rPr>
                    <w:t>人</w:t>
                  </w:r>
                  <w:r>
                    <w:rPr>
                      <w:rFonts w:ascii="仿宋_GB2312" w:hAnsi="仿宋_GB2312" w:cs="仿宋_GB2312" w:eastAsia="仿宋_GB2312"/>
                      <w:sz w:val="28"/>
                    </w:rPr>
                    <w:t>数</w:t>
                  </w:r>
                </w:p>
              </w:tc>
              <w:tc>
                <w:tcPr>
                  <w:tcW w:type="dxa" w:w="1197"/>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8"/>
                    </w:rPr>
                    <w:t>要求</w:t>
                  </w:r>
                </w:p>
              </w:tc>
            </w:tr>
            <w:tr>
              <w:tc>
                <w:tcPr>
                  <w:tcW w:type="dxa" w:w="264"/>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8"/>
                    </w:rPr>
                    <w:t>1</w:t>
                  </w:r>
                </w:p>
              </w:tc>
              <w:tc>
                <w:tcPr>
                  <w:tcW w:type="dxa" w:w="670"/>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8"/>
                    </w:rPr>
                    <w:t>项目负责人</w:t>
                  </w:r>
                </w:p>
              </w:tc>
              <w:tc>
                <w:tcPr>
                  <w:tcW w:type="dxa" w:w="423"/>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8"/>
                    </w:rPr>
                    <w:t>1</w:t>
                  </w:r>
                </w:p>
              </w:tc>
              <w:tc>
                <w:tcPr>
                  <w:tcW w:type="dxa" w:w="1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r>
                    <w:rPr>
                      <w:rFonts w:ascii="仿宋_GB2312" w:hAnsi="仿宋_GB2312" w:cs="仿宋_GB2312" w:eastAsia="仿宋_GB2312"/>
                      <w:sz w:val="28"/>
                    </w:rPr>
                    <w:t>有学生公寓工作经验</w:t>
                  </w:r>
                  <w:r>
                    <w:rPr>
                      <w:rFonts w:ascii="仿宋_GB2312" w:hAnsi="仿宋_GB2312" w:cs="仿宋_GB2312" w:eastAsia="仿宋_GB2312"/>
                      <w:sz w:val="28"/>
                    </w:rPr>
                    <w:t>，</w:t>
                  </w:r>
                  <w:r>
                    <w:rPr>
                      <w:rFonts w:ascii="仿宋_GB2312" w:hAnsi="仿宋_GB2312" w:cs="仿宋_GB2312" w:eastAsia="仿宋_GB2312"/>
                      <w:sz w:val="28"/>
                    </w:rPr>
                    <w:t>具有</w:t>
                  </w:r>
                  <w:r>
                    <w:rPr>
                      <w:rFonts w:ascii="仿宋_GB2312" w:hAnsi="仿宋_GB2312" w:cs="仿宋_GB2312" w:eastAsia="仿宋_GB2312"/>
                      <w:sz w:val="28"/>
                    </w:rPr>
                    <w:t>大专</w:t>
                  </w:r>
                  <w:r>
                    <w:rPr>
                      <w:rFonts w:ascii="仿宋_GB2312" w:hAnsi="仿宋_GB2312" w:cs="仿宋_GB2312" w:eastAsia="仿宋_GB2312"/>
                      <w:sz w:val="28"/>
                    </w:rPr>
                    <w:t>或</w:t>
                  </w:r>
                  <w:r>
                    <w:rPr>
                      <w:rFonts w:ascii="仿宋_GB2312" w:hAnsi="仿宋_GB2312" w:cs="仿宋_GB2312" w:eastAsia="仿宋_GB2312"/>
                      <w:sz w:val="28"/>
                    </w:rPr>
                    <w:t>以上</w:t>
                  </w:r>
                  <w:r>
                    <w:rPr>
                      <w:rFonts w:ascii="仿宋_GB2312" w:hAnsi="仿宋_GB2312" w:cs="仿宋_GB2312" w:eastAsia="仿宋_GB2312"/>
                      <w:sz w:val="28"/>
                    </w:rPr>
                    <w:t>学历，并具有</w:t>
                  </w:r>
                  <w:r>
                    <w:rPr>
                      <w:rFonts w:ascii="仿宋_GB2312" w:hAnsi="仿宋_GB2312" w:cs="仿宋_GB2312" w:eastAsia="仿宋_GB2312"/>
                      <w:sz w:val="28"/>
                    </w:rPr>
                    <w:t>退伍军人</w:t>
                  </w:r>
                  <w:r>
                    <w:rPr>
                      <w:rFonts w:ascii="仿宋_GB2312" w:hAnsi="仿宋_GB2312" w:cs="仿宋_GB2312" w:eastAsia="仿宋_GB2312"/>
                      <w:sz w:val="28"/>
                    </w:rPr>
                    <w:t>或教官证</w:t>
                  </w:r>
                </w:p>
              </w:tc>
            </w:tr>
            <w:tr>
              <w:tc>
                <w:tcPr>
                  <w:tcW w:type="dxa" w:w="264"/>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8"/>
                    </w:rPr>
                    <w:t>2</w:t>
                  </w:r>
                </w:p>
              </w:tc>
              <w:tc>
                <w:tcPr>
                  <w:tcW w:type="dxa" w:w="670"/>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8"/>
                    </w:rPr>
                    <w:t>教官</w:t>
                  </w:r>
                </w:p>
              </w:tc>
              <w:tc>
                <w:tcPr>
                  <w:tcW w:type="dxa" w:w="423"/>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8"/>
                    </w:rPr>
                    <w:t>1</w:t>
                  </w:r>
                </w:p>
              </w:tc>
              <w:tc>
                <w:tcPr>
                  <w:tcW w:type="dxa" w:w="1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r>
                    <w:rPr>
                      <w:rFonts w:ascii="仿宋_GB2312" w:hAnsi="仿宋_GB2312" w:cs="仿宋_GB2312" w:eastAsia="仿宋_GB2312"/>
                      <w:sz w:val="28"/>
                    </w:rPr>
                    <w:t>教官</w:t>
                  </w:r>
                  <w:r>
                    <w:rPr>
                      <w:rFonts w:ascii="仿宋_GB2312" w:hAnsi="仿宋_GB2312" w:cs="仿宋_GB2312" w:eastAsia="仿宋_GB2312"/>
                      <w:sz w:val="28"/>
                    </w:rPr>
                    <w:t>35岁以下</w:t>
                  </w:r>
                </w:p>
              </w:tc>
            </w:tr>
            <w:tr>
              <w:tc>
                <w:tcPr>
                  <w:tcW w:type="dxa" w:w="264"/>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8"/>
                    </w:rPr>
                    <w:t>3</w:t>
                  </w:r>
                </w:p>
              </w:tc>
              <w:tc>
                <w:tcPr>
                  <w:tcW w:type="dxa" w:w="670"/>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8"/>
                    </w:rPr>
                    <w:t>生活老师</w:t>
                  </w:r>
                </w:p>
              </w:tc>
              <w:tc>
                <w:tcPr>
                  <w:tcW w:type="dxa" w:w="423"/>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8"/>
                    </w:rPr>
                    <w:t>6</w:t>
                  </w:r>
                </w:p>
              </w:tc>
              <w:tc>
                <w:tcPr>
                  <w:tcW w:type="dxa" w:w="1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r>
                    <w:rPr>
                      <w:rFonts w:ascii="仿宋_GB2312" w:hAnsi="仿宋_GB2312" w:cs="仿宋_GB2312" w:eastAsia="仿宋_GB2312"/>
                      <w:sz w:val="28"/>
                    </w:rPr>
                    <w:t>高中及以上</w:t>
                  </w:r>
                  <w:r>
                    <w:rPr>
                      <w:rFonts w:ascii="仿宋_GB2312" w:hAnsi="仿宋_GB2312" w:cs="仿宋_GB2312" w:eastAsia="仿宋_GB2312"/>
                      <w:sz w:val="28"/>
                    </w:rPr>
                    <w:t>学历</w:t>
                  </w:r>
                  <w:r>
                    <w:rPr>
                      <w:rFonts w:ascii="仿宋_GB2312" w:hAnsi="仿宋_GB2312" w:cs="仿宋_GB2312" w:eastAsia="仿宋_GB2312"/>
                      <w:sz w:val="28"/>
                    </w:rPr>
                    <w:t>，年龄</w:t>
                  </w:r>
                  <w:r>
                    <w:rPr>
                      <w:rFonts w:ascii="仿宋_GB2312" w:hAnsi="仿宋_GB2312" w:cs="仿宋_GB2312" w:eastAsia="仿宋_GB2312"/>
                      <w:sz w:val="28"/>
                    </w:rPr>
                    <w:t>45岁以下，有学生公寓工作经验者，年龄可放宽至50岁</w:t>
                  </w:r>
                </w:p>
              </w:tc>
            </w:tr>
            <w:tr>
              <w:tc>
                <w:tcPr>
                  <w:tcW w:type="dxa" w:w="264"/>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8"/>
                    </w:rPr>
                    <w:t>4</w:t>
                  </w:r>
                </w:p>
              </w:tc>
              <w:tc>
                <w:tcPr>
                  <w:tcW w:type="dxa" w:w="670"/>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8"/>
                    </w:rPr>
                    <w:t>保洁员</w:t>
                  </w:r>
                </w:p>
              </w:tc>
              <w:tc>
                <w:tcPr>
                  <w:tcW w:type="dxa" w:w="423"/>
                  <w:tcBorders>
                    <w:top w:val="non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8"/>
                    </w:rPr>
                    <w:t>3</w:t>
                  </w:r>
                </w:p>
              </w:tc>
              <w:tc>
                <w:tcPr>
                  <w:tcW w:type="dxa" w:w="119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r>
                    <w:rPr>
                      <w:rFonts w:ascii="仿宋_GB2312" w:hAnsi="仿宋_GB2312" w:cs="仿宋_GB2312" w:eastAsia="仿宋_GB2312"/>
                      <w:sz w:val="28"/>
                    </w:rPr>
                    <w:t>学历不限，年龄</w:t>
                  </w:r>
                  <w:r>
                    <w:rPr>
                      <w:rFonts w:ascii="仿宋_GB2312" w:hAnsi="仿宋_GB2312" w:cs="仿宋_GB2312" w:eastAsia="仿宋_GB2312"/>
                      <w:sz w:val="28"/>
                    </w:rPr>
                    <w:t>60岁以下</w:t>
                  </w:r>
                </w:p>
              </w:tc>
            </w:tr>
            <w:tr>
              <w:tc>
                <w:tcPr>
                  <w:tcW w:type="dxa" w:w="2554"/>
                  <w:gridSpan w:val="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r>
                    <w:rPr>
                      <w:rFonts w:ascii="仿宋_GB2312" w:hAnsi="仿宋_GB2312" w:cs="仿宋_GB2312" w:eastAsia="仿宋_GB2312"/>
                      <w:sz w:val="28"/>
                    </w:rPr>
                    <w:t>备注：</w:t>
                  </w:r>
                </w:p>
                <w:p>
                  <w:pPr>
                    <w:pStyle w:val="null3"/>
                    <w:jc w:val="both"/>
                  </w:pPr>
                  <w:r>
                    <w:rPr>
                      <w:rFonts w:ascii="仿宋_GB2312" w:hAnsi="仿宋_GB2312" w:cs="仿宋_GB2312" w:eastAsia="仿宋_GB2312"/>
                      <w:sz w:val="28"/>
                    </w:rPr>
                    <w:t>对工作人员的总体要求：要有较高的政治觉悟，对学生有爱心而不溺爱，严格管理而不失分寸，与学生语言沟通无障碍，以上人员需</w:t>
                  </w:r>
                  <w:r>
                    <w:rPr>
                      <w:rFonts w:ascii="仿宋_GB2312" w:hAnsi="仿宋_GB2312" w:cs="仿宋_GB2312" w:eastAsia="仿宋_GB2312"/>
                      <w:sz w:val="28"/>
                    </w:rPr>
                    <w:t>具有</w:t>
                  </w:r>
                  <w:r>
                    <w:rPr>
                      <w:rFonts w:ascii="仿宋_GB2312" w:hAnsi="仿宋_GB2312" w:cs="仿宋_GB2312" w:eastAsia="仿宋_GB2312"/>
                      <w:sz w:val="28"/>
                      <w:b/>
                    </w:rPr>
                    <w:t>无犯罪记录证明、健康证明。</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根据项目实际情况配置所需人员。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根据项目实际情况配置所需设备。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西安市西大附中浐灞中学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按国家现行项目实施规范进行验收。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按月支付，每月月初支付上月费用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16.67</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按月支付，每月月初支付上月费用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16.67</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按月支付，每月月初支付上月费用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16.67</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按月支付，每月月初支付上月费用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16.67</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按月支付，每月月初支付上月费用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16.67</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按月支付，每月月初支付上月费用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16.65</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违约责任：1、乙方未按照竞争性磋商文件、竞争性磋商响应文件及本合同要求执行的视为乙方违约，自违约之日起，每日按合同总价的1%向甲方承担违约责任并且及时采取有效补救措施。 2、在履行合同过程中，如果乙方遇到可能妨碍按时提供服务的情况，应及时以书面形式将拖延的事实，可能拖延的期限和理由通知甲方。甲方在收到乙方通知后，应尽快对情况进行评价，并确定是否通过修改合同，酌情延长对应的服务时间或对乙方加收误期赔偿金。每延误一周的赔偿费按合同金额的百分之零点五(0.5%)计收，直至提供服务为止。误期赔偿费的最高限额为合同价格的百分之三十(30%)。一旦达到合同价格百分之五(5%)的误期赔偿费，甲方可随时终止合同且不承担任何违约责任。 3、甲方在当月工作检查、考评中，发现乙方未按合同约定执行相关内容，或乙方出现重大工作失误，造成较大影响，甲方有权从当月的服务费中扣除一定费用（扣除比例参照前两条），考评标准详见合同附件。 4、合同到期：乙方承诺，本合同到期且甲方不再续期时，无论甲乙双方是否存在任何争议及纠纷，乙方均应于合同到期后5个工作日内无条件将人员及乙方设施全部搬出，不得以未结算等任何理由拒不撤离，否则，乙方向甲方承担合同总金额30%的违约责任。 争议解决： 双方本着友好合作的态度,对合同履行过程中发生的纠纷应及时协商解决,协商不成，向甲方所在地人民法院诉讼解决。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为完成本项目磋商文件中所提出的工作范围及要求的全部内容，并达到国家及采购人验收标准而产生的所有费用，合同总价包括但不限于服务费、管理费、人员工资福利、服装费、保险费、培训费、采购代理费、利润、税金等一切相关费用，任何错报、漏报由供应商自行负责。 2、采购标的对应的中小企业划分标准所属行业：其他未列明行业。从业人员300人以下的为中小微型企业。其中，从业人员100人及以上的为中型企业；从业人员10人及以上的为小型企业；从业人员10人以下的为微型企业。 3、成交人领取成交通知书时须向代理机构提交纸质版磋商响应文件：正本壹份、副本贰份、电子版（U盘）贰份。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磋商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（一）出现下列情形之一的，磋商小组应当启动异常低价投标（响应）审查程序：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2.磋商报价低于通过符合性审查的次低报价供应商磋商报价50%的，即磋商报价&lt;通过符合性审查的次低报价供应商投标（响应）报价×50%； 3.磋商报价低于采购项目最高限价45%的，即磋商报价&lt;采购项目最高限价×45%； 4.磋商小组基于专业判断，认为供应商报价过低，有可能影响产品质量或者不能诚信履约的其他情形。 （二）磋商小组启动异常低价投标审查后，属于前述第1项至第4项情形的，相关供应商在30分钟内对磋商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 磋商供应商不能提供书面说明、证明材料，或者提供的书面说明、证明材料不能证明其报价合理性的，磋商小组应当将其作为无效磋商处理。</w:t>
            </w:r>
          </w:p>
        </w:tc>
        <w:tc>
          <w:tcPr>
            <w:tcW w:type="dxa" w:w="1661"/>
          </w:tcPr>
          <w:p>
            <w:pPr>
              <w:pStyle w:val="null3"/>
            </w:pPr>
            <w:r>
              <w:rPr>
                <w:rFonts w:ascii="仿宋_GB2312" w:hAnsi="仿宋_GB2312" w:cs="仿宋_GB2312" w:eastAsia="仿宋_GB2312"/>
              </w:rPr>
              <w:t>报价一览表.docx 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磋商响应有效期达到磋商文件的要求；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w:t>
            </w:r>
          </w:p>
        </w:tc>
        <w:tc>
          <w:tcPr>
            <w:tcW w:type="dxa" w:w="1661"/>
          </w:tcPr>
          <w:p>
            <w:pPr>
              <w:pStyle w:val="null3"/>
            </w:pPr>
            <w:r>
              <w:rPr>
                <w:rFonts w:ascii="仿宋_GB2312" w:hAnsi="仿宋_GB2312" w:cs="仿宋_GB2312" w:eastAsia="仿宋_GB2312"/>
              </w:rPr>
              <w:t>响应文件封面 报价一览表.docx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承诺书.docx 报价表 资格证明文件.docx 响应文件封面 业绩证明文件及响应方案说明.docx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提供2023年以来类似项目业绩合同（以合同签订时间为准），每份计2.5 分，满分5分。 （注：以上证明文件在磋商响应文件中附业绩合同扫描件并加盖公司公章）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①项目概述与需求理解；②针对本项目的总体服务方案；③服务工作计划安排④针对本项目的特色管理与创新；⑤学生管理方案；⑥日常运营管理方案； 二、评审标准 1.完整性：方案须全面，对评审内容中的各项要求有详细描述； 2.可实施性：切合本项目实际情况，实施步骤清晰、合理； 3.针对性：方案能够紧扣项目实际情况，内容科学合理。 三、赋分标准 ①项目概述与需求理解：每完全满足一项评审标准计1分，满分3分。 ②针对本项目的总体服务方案：每完全满足一项评审标准计1分，满分3分。 ③服务工作计划安排：每完全满足一项评审标准计1分，满分3分。 ④针对本项目的特色管理与创新：每完全满足一项评审标准计1分，满分3分。 ⑤学生管理方案：每完全满足一项评审标准计1分，满分3分。 ⑥日常运营管理方案：每完全满足一项评审标准计1分，满分3分。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一、评审内容 供应商针对本项目投入的设备设施包括①设施设备的清洁；②应急维修措施；③设施设备、库房及物品的日常维护管理。 二、评审标准 1.完整性：方案须全面，对评审内容中的各项要求有详细描述； 2.可实施性：切合本项目实际情况，实施步骤清晰、合理； 3.针对性：方案能够紧扣项目实际情况，内容科学合理。 三、赋分标准 ①设施设备的清洁：每完全满足一项评审标准计1分，满分3分。 ②应急维修措施：每完全满足一项评审标准计1分，满分3分。 ③设施设备、库房及物品的日常维护管理：每完全满足一项评审标准计1分，满分3分。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拟派项目团队其他成员</w:t>
            </w:r>
          </w:p>
        </w:tc>
        <w:tc>
          <w:tcPr>
            <w:tcW w:type="dxa" w:w="2492"/>
          </w:tcPr>
          <w:p>
            <w:pPr>
              <w:pStyle w:val="null3"/>
            </w:pPr>
            <w:r>
              <w:rPr>
                <w:rFonts w:ascii="仿宋_GB2312" w:hAnsi="仿宋_GB2312" w:cs="仿宋_GB2312" w:eastAsia="仿宋_GB2312"/>
              </w:rPr>
              <w:t>一、评审内容 ①人员配置计划；②人员培训方案；③人员专业能力、同类型项目管理经验（提供学历证、身份证、健康证、无犯罪证明等相关证明材料）。 二、评审标准 1.完整性：方案须全面，对评审内容中的各项要求有详细描述； 2.可实施性：切合本项目实际情况，实施步骤清晰、合理； 3.针对性：方案能够紧扣项目实际情况，内容科学合理。 三、赋分标准 ①人员配置计划：每完全满足一项评审标准计1分，满分3分。 ②人员培训方案：每完全满足一项评审标准计1分，满分3分。 ③人员专业能力、同类型项目管理经验：每完全满足一项评审标准计1分，满分3分。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一、评审内容 针对本项目提出的安全管理方案，包括 ①门卫值班；②公寓楼内外安全巡视、防火、防盗、防意外；③楼内设施安全巡检；④应急通道及设备的安全检查； 二、评审标准 1.完整性：方案须全面，对评审内容中的各项要求有详细描述； 2.可实施性：切合本项目实际情况，实施步骤清晰、合理； 3.针对性：方案能够紧扣项目实际情况，内容科学合理。 三、赋分标准 ①门卫值班：每完全满足一项评审标准计1分，满分3分。 ②公寓楼内外安全巡视、防火、防盗、防意外：每完全满足一项评审标准计1分，满分3分。 ③楼内设施安全巡检：每完全满足一项评审标准1分，满分3分。 ④应急通道及设备的安全检查：每完全满足一项评审标准1分，满分3分。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针对本项目提出的安全管理方案，包括 ①突发事件的应急预案及保障措施；②演练培训；③突发事件中物资保障措施； 二、评审标准 1.完整性：方案须全面，对评审内容中的各项要求有详细描述； 2.可实施性：切合本项目实际情况，实施步骤清晰、合理； 3.针对性：方案能够紧扣项目实际情况，内容科学合理。 三、赋分标准 ①突发事件的应急预案及保障措施：每完全满足一项评审标准计1分，满分3分。 ②演练培训：每完全满足一项评审标准计1分，满分3分。 ③ 突发事件中物资保障措施：每完全满足一项评审标准计1分，满分3分。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①服务期限内服务质量承诺；②协助采购人进行巡查、巡检承诺；③服务期内的响应时间及配合程度等做出实质性承诺；④增值服务承诺 二、评审标准 1.完整性：方案须全面，对评审内容中的各项要求有详细描述； 2.可实施性：切合本项目实际情况，实施步骤清晰、合理； 3.针对性：方案能够紧扣项目实际情况，内容科学合理。 三、赋分标准 ①服务期限内服务质量承诺：每完全满足一项评审标准计1分，满分3分。 ②协助采购人进行巡查、巡检承诺：每完全满足一项评审标准计1分，满分3分。 ③服务期内的响应时间及配合程度等做出实质性承诺：每完全满足一项评审标准计1分，满分3分。 ④增值服务承诺：每完全满足一项评审标准计1分，满分3分。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重难点问题解决方案</w:t>
            </w:r>
          </w:p>
        </w:tc>
        <w:tc>
          <w:tcPr>
            <w:tcW w:type="dxa" w:w="2492"/>
          </w:tcPr>
          <w:p>
            <w:pPr>
              <w:pStyle w:val="null3"/>
            </w:pPr>
            <w:r>
              <w:rPr>
                <w:rFonts w:ascii="仿宋_GB2312" w:hAnsi="仿宋_GB2312" w:cs="仿宋_GB2312" w:eastAsia="仿宋_GB2312"/>
              </w:rPr>
              <w:t>一、评审内容 ①学生沟通工作的重难点；②投诉与纠纷处理。 二、评审标准 1.完整性：方案须全面，对评审内容中的各项要求有详细描述； 2.可实施性：切合本项目实际情况，实施步骤清晰、合理； 3.针对性：方案能够紧扣项目实际情况，内容科学合理。 三、赋分标准 ①学生沟通工作的重难点：每完全满足一项评审标准计1分，满分3分。 ② 投诉与纠纷处理：每完全满足一项评审标准计1分，满分3分。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中小企业划分标准所属行业：其他未列明行业。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详见附件：业绩证明文件及响应方案说明.docx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