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版本号：241110004</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“第三批新优质学校成长”项目（软件项目）</w:t>
      </w:r>
    </w:p>
    <w:p>
      <w:pPr>
        <w:pStyle w:val="null3"/>
        <w:jc w:val="center"/>
        <w:outlineLvl w:val="2"/>
      </w:pPr>
      <w:r>
        <w:rPr>
          <w:sz w:val="28"/>
          <w:b/>
        </w:rPr>
        <w:t>采购项目编号：</w:t>
      </w:r>
      <w:r>
        <w:rPr>
          <w:sz w:val="28"/>
          <w:b/>
        </w:rPr>
        <w:t>TZZB-2024300C</w:t>
      </w:r>
      <w:r>
        <w:br/>
      </w:r>
      <w:r>
        <w:br/>
      </w:r>
      <w:r>
        <w:br/>
      </w:r>
    </w:p>
    <w:p>
      <w:pPr>
        <w:pStyle w:val="null3"/>
        <w:jc w:val="center"/>
        <w:outlineLvl w:val="2"/>
      </w:pPr>
      <w:r>
        <w:rPr>
          <w:sz w:val="28"/>
          <w:b/>
        </w:rPr>
        <w:t>西安经开第七小学</w:t>
      </w:r>
    </w:p>
    <w:p>
      <w:pPr>
        <w:pStyle w:val="null3"/>
        <w:jc w:val="center"/>
        <w:outlineLvl w:val="2"/>
      </w:pPr>
      <w:r>
        <w:rPr>
          <w:sz w:val="28"/>
          <w:b/>
        </w:rPr>
        <w:t>同正项目管理有限公司</w:t>
      </w:r>
      <w:r>
        <w:rPr>
          <w:sz w:val="28"/>
          <w:b/>
        </w:rPr>
        <w:t>共同编制</w:t>
      </w:r>
    </w:p>
    <w:p>
      <w:pPr>
        <w:pStyle w:val="null3"/>
        <w:jc w:val="center"/>
        <w:outlineLvl w:val="2"/>
      </w:pPr>
      <w:r>
        <w:rPr>
          <w:sz w:val="28"/>
          <w:b/>
        </w:rPr>
        <w:t>2024年11月10日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同正项目管理有限公司</w:t>
      </w:r>
      <w:r>
        <w:rPr/>
        <w:t>（以下简称“代理机构”）受</w:t>
      </w:r>
      <w:r>
        <w:rPr/>
        <w:t>西安经开第七小学</w:t>
      </w:r>
      <w:r>
        <w:rPr/>
        <w:t>委托，拟对</w:t>
      </w:r>
      <w:r>
        <w:rPr/>
        <w:t>“第三批新优质学校成长”项目（软件项目）</w:t>
      </w:r>
      <w:r>
        <w:rPr/>
        <w:t>采用竞争性磋商采购方式进行采购，兹邀请供应商参加本项目的竞争性磋商。</w:t>
      </w:r>
    </w:p>
    <w:p>
      <w:pPr>
        <w:pStyle w:val="null3"/>
        <w:outlineLvl w:val="2"/>
      </w:pPr>
      <w:r>
        <w:rPr>
          <w:sz w:val="28"/>
          <w:b/>
        </w:rPr>
        <w:t>一、项目编号：</w:t>
      </w:r>
      <w:r>
        <w:rPr>
          <w:sz w:val="28"/>
          <w:b/>
        </w:rPr>
        <w:t>TZZB-2024300C</w:t>
      </w:r>
    </w:p>
    <w:p>
      <w:pPr>
        <w:pStyle w:val="null3"/>
        <w:outlineLvl w:val="2"/>
      </w:pPr>
      <w:r>
        <w:rPr>
          <w:sz w:val="28"/>
          <w:b/>
        </w:rPr>
        <w:t>二、项目名称：</w:t>
      </w:r>
      <w:r>
        <w:rPr>
          <w:sz w:val="28"/>
          <w:b/>
        </w:rPr>
        <w:t>“第三批新优质学校成长”项目（软件项目）</w:t>
      </w:r>
    </w:p>
    <w:p>
      <w:pPr>
        <w:pStyle w:val="null3"/>
        <w:outlineLvl w:val="2"/>
      </w:pPr>
      <w:r>
        <w:rPr>
          <w:sz w:val="28"/>
          <w:b/>
        </w:rPr>
        <w:t>三、磋商项目简介</w:t>
      </w:r>
    </w:p>
    <w:p>
      <w:pPr>
        <w:pStyle w:val="null3"/>
        <w:ind w:firstLine="480"/>
      </w:pPr>
      <w:r>
        <w:rPr/>
        <w:t>包含教师专业成长、教育综合评价、学校综合实践活动等内容</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采购包1（“第三批新优质学校成长”项目（软件项目））：属于专门面向中小企业采购。</w:t>
      </w:r>
    </w:p>
    <w:p>
      <w:pPr>
        <w:pStyle w:val="null3"/>
        <w:ind w:firstLine="480"/>
      </w:pPr>
      <w:r>
        <w:rPr/>
        <w:t>（三）本项目的特定资格要求：</w:t>
      </w:r>
    </w:p>
    <w:p>
      <w:pPr>
        <w:pStyle w:val="null3"/>
      </w:pPr>
      <w:r>
        <w:rPr/>
        <w:t>采购包1：</w:t>
      </w:r>
    </w:p>
    <w:p>
      <w:pPr>
        <w:pStyle w:val="null3"/>
      </w:pPr>
      <w:r>
        <w:rPr/>
        <w:t>1、营业执照：供应商为具有独立承担民事责任能力的法人或其他组织。企业法人应提供合法有效的标识有统一社会信用代码的营业执照；事业法人应提供事业单位法人证书；其他组织应提供合法登记证明文件</w:t>
      </w:r>
    </w:p>
    <w:p>
      <w:pPr>
        <w:pStyle w:val="null3"/>
      </w:pPr>
      <w:r>
        <w:rPr/>
        <w:t>2、财务状况报告：提供供应商2023年经审计的财务报告或磋商前三个月内开户银行开具的资信证明</w:t>
      </w:r>
    </w:p>
    <w:p>
      <w:pPr>
        <w:pStyle w:val="null3"/>
      </w:pPr>
      <w:r>
        <w:rPr/>
        <w:t>3、税收缴纳证明：提供2024年1月至今已缴纳的至少一个月的纳税证明或完税证明（任意税种），依法免税的单位应提供相关证明材料</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5、具有履行本合同所必需的设备和专业技术能力的声明：提供具有履行本合同所必需的设备和专业技术能力的声明</w:t>
      </w:r>
    </w:p>
    <w:p>
      <w:pPr>
        <w:pStyle w:val="null3"/>
      </w:pPr>
      <w:r>
        <w:rPr/>
        <w:t>6、企业信用：供应商未被列入“中国执行信息公开网”（http://zxgk.court.gov.cn/shixin/）失信被执行人名单，未被列入“信用中国”网站（www.creditchina.gov.cn）重大税收违法失信主体，未被列入“中国政府采购网”（www.ccgp.gov.cn）政府采购严重违法失信行为记录名单</w:t>
      </w:r>
    </w:p>
    <w:p>
      <w:pPr>
        <w:pStyle w:val="null3"/>
      </w:pPr>
      <w:r>
        <w:rPr/>
        <w:t>7、三年内无重大违法记录：参加本次政府采购活动前三年内在经营活动中没有重大违法记录的书面声明</w:t>
      </w:r>
    </w:p>
    <w:p>
      <w:pPr>
        <w:pStyle w:val="null3"/>
      </w:pPr>
      <w:r>
        <w:rPr/>
        <w:t>8、身份授权：供应商应授权合法的人员参加磋商全过程，其中法定代表人直接参加磋商的，须出具法人身份证，并与营业执照上信息一致。法定代表人授权代表参加磋商的，须出具法定代表人授权书及授权代表身份证</w:t>
      </w:r>
    </w:p>
    <w:p>
      <w:pPr>
        <w:pStyle w:val="null3"/>
      </w:pPr>
      <w:r>
        <w:rPr/>
        <w:t>9、关联关系：供应商负责人不得为同一人或者存在控股、管理关系</w:t>
      </w:r>
    </w:p>
    <w:p>
      <w:pPr>
        <w:pStyle w:val="null3"/>
      </w:pPr>
      <w:r>
        <w:rPr/>
        <w:t>10、中小企业声明函：本项目为专门面向中小企业项目，供应商须为中型企业或者小型、微型企业或监狱企业或残疾人福利性单位</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西安经开第七小学</w:t>
      </w:r>
    </w:p>
    <w:p>
      <w:pPr>
        <w:pStyle w:val="null3"/>
      </w:pPr>
      <w:r>
        <w:rPr/>
        <w:t xml:space="preserve"> 地址： </w:t>
      </w:r>
      <w:r>
        <w:rPr/>
        <w:t>西安经开第七小学</w:t>
      </w:r>
    </w:p>
    <w:p>
      <w:pPr>
        <w:pStyle w:val="null3"/>
      </w:pPr>
      <w:r>
        <w:rPr/>
        <w:t xml:space="preserve"> 邮编： </w:t>
      </w:r>
      <w:r>
        <w:rPr/>
        <w:t>710000</w:t>
      </w:r>
    </w:p>
    <w:p>
      <w:pPr>
        <w:pStyle w:val="null3"/>
      </w:pPr>
      <w:r>
        <w:rPr/>
        <w:t xml:space="preserve"> 联系人： </w:t>
      </w:r>
      <w:r>
        <w:rPr/>
        <w:t>张老师</w:t>
      </w:r>
    </w:p>
    <w:p>
      <w:pPr>
        <w:pStyle w:val="null3"/>
      </w:pPr>
      <w:r>
        <w:rPr/>
        <w:t xml:space="preserve"> 联系电话： </w:t>
      </w:r>
      <w:r>
        <w:rPr/>
        <w:t>18991383938</w:t>
      </w:r>
    </w:p>
    <w:p>
      <w:pPr>
        <w:pStyle w:val="null3"/>
        <w:outlineLvl w:val="3"/>
      </w:pPr>
      <w:r>
        <w:rPr>
          <w:sz w:val="24"/>
          <w:b/>
        </w:rPr>
        <w:t>代理机构：</w:t>
      </w:r>
      <w:r>
        <w:rPr>
          <w:sz w:val="24"/>
          <w:b/>
        </w:rPr>
        <w:t>同正项目管理有限公司</w:t>
      </w:r>
    </w:p>
    <w:p>
      <w:pPr>
        <w:pStyle w:val="null3"/>
      </w:pPr>
      <w:r>
        <w:rPr/>
        <w:t xml:space="preserve"> 地址： </w:t>
      </w:r>
      <w:r>
        <w:rPr/>
        <w:t>陕西省西安市未央区西安市经开区凤城八路180号长和国际F座22层</w:t>
      </w:r>
    </w:p>
    <w:p>
      <w:pPr>
        <w:pStyle w:val="null3"/>
      </w:pPr>
      <w:r>
        <w:rPr/>
        <w:t xml:space="preserve"> 邮编： </w:t>
      </w:r>
      <w:r>
        <w:rPr/>
        <w:t>710000</w:t>
      </w:r>
    </w:p>
    <w:p>
      <w:pPr>
        <w:pStyle w:val="null3"/>
      </w:pPr>
      <w:r>
        <w:rPr/>
        <w:t xml:space="preserve"> 联系人： </w:t>
      </w:r>
      <w:r>
        <w:rPr/>
        <w:t>王燕、倪莹</w:t>
      </w:r>
    </w:p>
    <w:p>
      <w:pPr>
        <w:pStyle w:val="null3"/>
      </w:pPr>
      <w:r>
        <w:rPr/>
        <w:t xml:space="preserve"> 联系电话： </w:t>
      </w:r>
      <w:r>
        <w:rPr/>
        <w:t>029-86522030转612</w:t>
      </w:r>
    </w:p>
    <w:p>
      <w:pPr>
        <w:pStyle w:val="null3"/>
        <w:outlineLvl w:val="3"/>
      </w:pPr>
      <w:r>
        <w:rPr>
          <w:sz w:val="24"/>
          <w:b/>
        </w:rPr>
        <w:t>采购监督机构：</w:t>
      </w:r>
      <w:r>
        <w:rPr>
          <w:sz w:val="24"/>
          <w:b/>
        </w:rPr>
        <w:t>西安经济技术开发区政府采购管理股</w:t>
      </w:r>
    </w:p>
    <w:p>
      <w:pPr>
        <w:pStyle w:val="null3"/>
        <w:ind w:firstLine="480"/>
      </w:pPr>
      <w:r>
        <w:rPr/>
        <w:t>联系人：</w:t>
      </w:r>
      <w:r>
        <w:rPr/>
        <w:t>邓谷元</w:t>
      </w:r>
    </w:p>
    <w:p>
      <w:pPr>
        <w:pStyle w:val="null3"/>
        <w:ind w:firstLine="480"/>
      </w:pPr>
      <w:r>
        <w:rPr/>
        <w:t>联系电话：</w:t>
      </w:r>
      <w:r>
        <w:rPr/>
        <w:t>86538460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采购包1：444,295.00元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代理服务费收费标准：参照国家发展计划委员会文件计价格【2002】1980号、发改价格【2011】534号，招标代理费用根据实际成交价格据实结算，由成交单位进行支付。</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西安经开第七小学</w:t>
      </w:r>
      <w:r>
        <w:rPr/>
        <w:t>和</w:t>
      </w:r>
      <w:r>
        <w:rPr/>
        <w:t>同正项目管理有限公司</w:t>
      </w:r>
      <w:r>
        <w:rPr/>
        <w:t>享有。对磋商文件中供应商参加本次政府采购活动应当具备的条件，磋商项目技术、服务、商务及其他要求，评审细则及标准由</w:t>
      </w:r>
      <w:r>
        <w:rPr/>
        <w:t>西安经开第七小学</w:t>
      </w:r>
      <w:r>
        <w:rPr/>
        <w:t>负责解释。除上述磋商文件内容，其他内容由</w:t>
      </w:r>
      <w:r>
        <w:rPr/>
        <w:t>同正项目管理有限公司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西安经开第七小学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同正项目管理有限公司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合格</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同正项目管理有限公司</w:t>
      </w:r>
      <w:r>
        <w:rPr/>
        <w:t xml:space="preserve"> 负责答复；供应商对除采购需求外的采购文件的询问、质疑由</w:t>
      </w:r>
      <w:r>
        <w:rPr/>
        <w:t>同正项目管理有限公司</w:t>
      </w:r>
      <w:r>
        <w:rPr/>
        <w:t xml:space="preserve"> 负责答复；供应商对采购过程、采购结果的询问、质疑由 </w:t>
      </w:r>
      <w:r>
        <w:rPr/>
        <w:t>同正项目管理有限公司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联系人：王燕、倪莹</w:t>
      </w:r>
    </w:p>
    <w:p>
      <w:pPr>
        <w:pStyle w:val="null3"/>
      </w:pPr>
      <w:r>
        <w:rPr/>
        <w:t>联系电话：029-86522030转612</w:t>
      </w:r>
    </w:p>
    <w:p>
      <w:pPr>
        <w:pStyle w:val="null3"/>
      </w:pPr>
      <w:r>
        <w:rPr/>
        <w:t>地址：西安市经济技术开发区凤城八路长和国际F座22楼</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包含教师专业成长、教育综合评价、学校综合实践活动等内容</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444,295.00</w:t>
      </w:r>
    </w:p>
    <w:p>
      <w:pPr>
        <w:pStyle w:val="null3"/>
      </w:pPr>
      <w:r>
        <w:rPr/>
        <w:t>采购包最高限价（元）: 444,295.00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包含教师专业成长、教育综合评价、学校综合实践活动等内容</w:t>
            </w:r>
          </w:p>
        </w:tc>
        <w:tc>
          <w:tcPr>
            <w:tcW w:type="dxa" w:w="831"/>
          </w:tcPr>
          <w:p>
            <w:pPr>
              <w:pStyle w:val="null3"/>
              <w:jc w:val="right"/>
            </w:pPr>
            <w:r>
              <w:rPr/>
              <w:t>1.00</w:t>
            </w:r>
          </w:p>
        </w:tc>
        <w:tc>
          <w:tcPr>
            <w:tcW w:type="dxa" w:w="831"/>
          </w:tcPr>
          <w:p>
            <w:pPr>
              <w:pStyle w:val="null3"/>
              <w:jc w:val="right"/>
            </w:pPr>
            <w:r>
              <w:rPr/>
              <w:t>444,295.00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标的名称：包含教师专业成长、教育综合评价、学校综合实践活动等内容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教师专业成长:组织开展各类专项培训；邀请专家进行学科教学设计及课堂诊断指导；加强三级三类骨干教师体系建设；开展“青蓝工程”等青年教师培养工作。</w:t>
            </w:r>
          </w:p>
        </w:tc>
      </w:tr>
      <w:tr>
        <w:tc>
          <w:tcPr>
            <w:tcW w:type="dxa" w:w="2769"/>
          </w:tcPr>
          <w:p/>
        </w:tc>
        <w:tc>
          <w:tcPr>
            <w:tcW w:type="dxa" w:w="2769"/>
          </w:tcPr>
          <w:p>
            <w:pPr>
              <w:pStyle w:val="null3"/>
            </w:pPr>
            <w:r>
              <w:rPr/>
              <w:t>2</w:t>
            </w:r>
          </w:p>
        </w:tc>
        <w:tc>
          <w:tcPr>
            <w:tcW w:type="dxa" w:w="2769"/>
          </w:tcPr>
          <w:p>
            <w:pPr>
              <w:pStyle w:val="null3"/>
            </w:pPr>
            <w:r>
              <w:rPr/>
              <w:t>教育综合评价：教学质量提升诊断及评价系统；落实“双减”，分层作业评估系统；学校校本作业体系建设系统；学生学情精准分析系统。</w:t>
            </w:r>
          </w:p>
        </w:tc>
      </w:tr>
      <w:tr>
        <w:tc>
          <w:tcPr>
            <w:tcW w:type="dxa" w:w="2769"/>
          </w:tcPr>
          <w:p/>
        </w:tc>
        <w:tc>
          <w:tcPr>
            <w:tcW w:type="dxa" w:w="2769"/>
          </w:tcPr>
          <w:p>
            <w:pPr>
              <w:pStyle w:val="null3"/>
            </w:pPr>
            <w:r>
              <w:rPr/>
              <w:t>3</w:t>
            </w:r>
          </w:p>
        </w:tc>
        <w:tc>
          <w:tcPr>
            <w:tcW w:type="dxa" w:w="2769"/>
          </w:tcPr>
          <w:p>
            <w:pPr>
              <w:pStyle w:val="null3"/>
            </w:pPr>
            <w:r>
              <w:rPr/>
              <w:t>学校综合实践活动：无土栽培劳动教育项目系统。培养学生科学探究精神，拓宽学生对农业种植方式的认知。</w:t>
            </w:r>
          </w:p>
        </w:tc>
      </w:tr>
    </w:tbl>
    <w:p>
      <w:pPr>
        <w:pStyle w:val="null3"/>
        <w:outlineLvl w:val="2"/>
      </w:pPr>
      <w:r>
        <w:rPr>
          <w:sz w:val="28"/>
          <w:b/>
        </w:rPr>
        <w:t>3.2.3人员配置要求</w:t>
      </w:r>
    </w:p>
    <w:p>
      <w:pPr>
        <w:pStyle w:val="null3"/>
      </w:pPr>
      <w:r>
        <w:rPr/>
        <w:t>采购包1：</w:t>
      </w:r>
    </w:p>
    <w:p>
      <w:pPr>
        <w:pStyle w:val="null3"/>
      </w:pPr>
      <w:r>
        <w:rPr/>
        <w:t>/</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满足采购人需求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自合同签订后15个工作日</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符合国家标准、行业标准以及有关技术规范要求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 xml:space="preserve">所有服务结束后并向采购人提交总结汇编等资料，经采购人验收合格后 </w:t>
      </w:r>
      <w:r>
        <w:rPr/>
        <w:t xml:space="preserve"> ，达到付款条件起 </w:t>
      </w:r>
      <w:r>
        <w:rPr/>
        <w:t>30</w:t>
      </w:r>
      <w:r>
        <w:rPr/>
        <w:t xml:space="preserve"> 日内，支付合同总金额的 </w:t>
      </w:r>
      <w:r>
        <w:rPr/>
        <w:t>60.00</w:t>
      </w:r>
      <w:r>
        <w:rPr/>
        <w:t>%。</w:t>
      </w:r>
    </w:p>
    <w:p>
      <w:pPr>
        <w:pStyle w:val="null3"/>
        <w:outlineLvl w:val="3"/>
      </w:pPr>
      <w:r>
        <w:rPr>
          <w:sz w:val="24"/>
          <w:b/>
        </w:rPr>
        <w:t>3.3.6违约责任及解决争议的方法</w:t>
      </w:r>
    </w:p>
    <w:p>
      <w:pPr>
        <w:pStyle w:val="null3"/>
      </w:pPr>
      <w:r>
        <w:rPr/>
        <w:t>采购包1：</w:t>
      </w:r>
    </w:p>
    <w:p>
      <w:pPr>
        <w:pStyle w:val="null3"/>
      </w:pPr>
      <w:r>
        <w:rPr/>
        <w:t>合同执行中发生争议的，当事人双方应协商解决，无法协商或协商达不成一致时，双方均有权向甲方所在地人民法院提请诉讼</w:t>
      </w:r>
    </w:p>
    <w:p>
      <w:pPr>
        <w:pStyle w:val="null3"/>
        <w:outlineLvl w:val="2"/>
      </w:pPr>
      <w:r>
        <w:rPr>
          <w:sz w:val="28"/>
          <w:b/>
        </w:rPr>
        <w:t>3.4其他要求</w:t>
      </w:r>
    </w:p>
    <w:p>
      <w:pPr>
        <w:pStyle w:val="null3"/>
      </w:pPr>
      <w:r>
        <w:rPr/>
        <w:t>1、服务质量：合格；2、本项目通过电子化交易系统协商，供应商需在电子化交易系统上传响应的文件。供应商在投标文件递交截止时间前向采购代理机构提供一正两副纸质投标文件及电子版1份（签字盖章扫描PDF和word文档格式，U盘存储），递交地质：陕西省西安市经济技术开发区凤城八路长和国际F座22层，联系电话：029-86522030转612）。</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供应商为具有独立承担民事责任能力的法人或其他组织。企业法人应提供合法有效的标识有统一社会信用代码的营业执照；事业法人应提供事业单位法人证书；其他组织应提供合法登记证明文件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提供供应商2023年经审计的财务报告或磋商前三个月内开户银行开具的资信证明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提供2024年1月至今已缴纳的至少一个月的纳税证明或完税证明（任意税种），依法免税的单位应提供相关证明材料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具有履行本合同所必需的设备和专业技术能力的声明</w:t>
            </w:r>
          </w:p>
        </w:tc>
        <w:tc>
          <w:tcPr>
            <w:tcW w:type="dxa" w:w="3322"/>
          </w:tcPr>
          <w:p>
            <w:pPr>
              <w:pStyle w:val="null3"/>
            </w:pPr>
            <w:r>
              <w:rPr/>
              <w:t>提供具有履行本合同所必需的设备和专业技术能力的声明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企业信用</w:t>
            </w:r>
          </w:p>
        </w:tc>
        <w:tc>
          <w:tcPr>
            <w:tcW w:type="dxa" w:w="3322"/>
          </w:tcPr>
          <w:p>
            <w:pPr>
              <w:pStyle w:val="null3"/>
            </w:pPr>
            <w:r>
              <w:rPr/>
              <w:t>供应商未被列入“中国执行信息公开网”（http://zxgk.court.gov.cn/shixin/）失信被执行人名单，未被列入“信用中国”网站（www.creditchina.gov.cn）重大税收违法失信主体，未被列入“中国政府采购网”（www.ccgp.gov.cn）政府采购严重违法失信行为记录名单</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三年内无重大违法记录</w:t>
            </w:r>
          </w:p>
        </w:tc>
        <w:tc>
          <w:tcPr>
            <w:tcW w:type="dxa" w:w="3322"/>
          </w:tcPr>
          <w:p>
            <w:pPr>
              <w:pStyle w:val="null3"/>
            </w:pPr>
            <w:r>
              <w:rPr/>
              <w:t>参加本次政府采购活动前三年内在经营活动中没有重大违法记录的书面声明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身份授权</w:t>
            </w:r>
          </w:p>
        </w:tc>
        <w:tc>
          <w:tcPr>
            <w:tcW w:type="dxa" w:w="3322"/>
          </w:tcPr>
          <w:p>
            <w:pPr>
              <w:pStyle w:val="null3"/>
            </w:pPr>
            <w:r>
              <w:rPr/>
              <w:t>供应商应授权合法的人员参加磋商全过程，其中法定代表人直接参加磋商的，须出具法人身份证，并与营业执照上信息一致。法定代表人授权代表参加磋商的，须出具法定代表人授权书及授权代表身份证</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关联关系</w:t>
            </w:r>
          </w:p>
        </w:tc>
        <w:tc>
          <w:tcPr>
            <w:tcW w:type="dxa" w:w="3322"/>
          </w:tcPr>
          <w:p>
            <w:pPr>
              <w:pStyle w:val="null3"/>
            </w:pPr>
            <w:r>
              <w:rPr/>
              <w:t>供应商负责人不得为同一人或者存在控股、管理关系</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中小企业声明函</w:t>
            </w:r>
          </w:p>
        </w:tc>
        <w:tc>
          <w:tcPr>
            <w:tcW w:type="dxa" w:w="3322"/>
          </w:tcPr>
          <w:p>
            <w:pPr>
              <w:pStyle w:val="null3"/>
            </w:pPr>
            <w:r>
              <w:rPr/>
              <w:t>本项目为专门面向中小企业项目，供应商须为中型企业或者小型、微型企业或监狱企业或残疾人福利性单位</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与营业执照一致</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响应文件签字盖章</w:t>
            </w:r>
          </w:p>
        </w:tc>
        <w:tc>
          <w:tcPr>
            <w:tcW w:type="dxa" w:w="3322"/>
          </w:tcPr>
          <w:p>
            <w:pPr>
              <w:pStyle w:val="null3"/>
            </w:pPr>
            <w:r>
              <w:rPr/>
              <w:t>在磋商响应文件中指定落款处，按文件要求盖章或签字</w:t>
            </w:r>
          </w:p>
        </w:tc>
        <w:tc>
          <w:tcPr>
            <w:tcW w:type="dxa" w:w="1661"/>
          </w:tcPr>
          <w:p>
            <w:pPr>
              <w:pStyle w:val="null3"/>
            </w:pPr>
            <w:r>
              <w:rPr/>
              <w:t>响应文件封面</w:t>
            </w:r>
          </w:p>
        </w:tc>
      </w:tr>
      <w:tr>
        <w:tc>
          <w:tcPr>
            <w:tcW w:type="dxa" w:w="831"/>
          </w:tcPr>
          <w:p>
            <w:pPr>
              <w:pStyle w:val="null3"/>
            </w:pPr>
            <w:r>
              <w:rPr/>
              <w:t>4</w:t>
            </w:r>
          </w:p>
        </w:tc>
        <w:tc>
          <w:tcPr>
            <w:tcW w:type="dxa" w:w="2492"/>
          </w:tcPr>
          <w:p>
            <w:pPr>
              <w:pStyle w:val="null3"/>
            </w:pPr>
            <w:r>
              <w:rPr/>
              <w:t>响应文件格式</w:t>
            </w:r>
          </w:p>
        </w:tc>
        <w:tc>
          <w:tcPr>
            <w:tcW w:type="dxa" w:w="3322"/>
          </w:tcPr>
          <w:p>
            <w:pPr>
              <w:pStyle w:val="null3"/>
            </w:pPr>
            <w:r>
              <w:rPr/>
              <w:t>符合磋商文件的格式要求无重大偏离</w:t>
            </w:r>
          </w:p>
        </w:tc>
        <w:tc>
          <w:tcPr>
            <w:tcW w:type="dxa" w:w="1661"/>
          </w:tcPr>
          <w:p>
            <w:pPr>
              <w:pStyle w:val="null3"/>
            </w:pPr>
            <w:r>
              <w:rPr/>
              <w:t>响应文件封面 陕西省政府采购供应商拒绝政府采购领域商业贿赂承诺书</w:t>
            </w:r>
          </w:p>
        </w:tc>
      </w:tr>
      <w:tr>
        <w:tc>
          <w:tcPr>
            <w:tcW w:type="dxa" w:w="831"/>
          </w:tcPr>
          <w:p>
            <w:pPr>
              <w:pStyle w:val="null3"/>
            </w:pPr>
            <w:r>
              <w:rPr/>
              <w:t>5</w:t>
            </w:r>
          </w:p>
        </w:tc>
        <w:tc>
          <w:tcPr>
            <w:tcW w:type="dxa" w:w="2492"/>
          </w:tcPr>
          <w:p>
            <w:pPr>
              <w:pStyle w:val="null3"/>
            </w:pPr>
            <w:r>
              <w:rPr/>
              <w:t>响应（投标）内容</w:t>
            </w:r>
          </w:p>
        </w:tc>
        <w:tc>
          <w:tcPr>
            <w:tcW w:type="dxa" w:w="3322"/>
          </w:tcPr>
          <w:p>
            <w:pPr>
              <w:pStyle w:val="null3"/>
            </w:pPr>
            <w:r>
              <w:rPr/>
              <w:t>与磋商内容一致，无重大偏离</w:t>
            </w:r>
          </w:p>
        </w:tc>
        <w:tc>
          <w:tcPr>
            <w:tcW w:type="dxa" w:w="1661"/>
          </w:tcPr>
          <w:p>
            <w:pPr>
              <w:pStyle w:val="null3"/>
            </w:pPr>
            <w:r>
              <w:rPr/>
              <w:t>响应文件封面 服务内容及服务邀请应答表</w:t>
            </w:r>
          </w:p>
        </w:tc>
      </w:tr>
      <w:tr>
        <w:tc>
          <w:tcPr>
            <w:tcW w:type="dxa" w:w="831"/>
          </w:tcPr>
          <w:p>
            <w:pPr>
              <w:pStyle w:val="null3"/>
            </w:pPr>
            <w:r>
              <w:rPr/>
              <w:t>6</w:t>
            </w:r>
          </w:p>
        </w:tc>
        <w:tc>
          <w:tcPr>
            <w:tcW w:type="dxa" w:w="2492"/>
          </w:tcPr>
          <w:p>
            <w:pPr>
              <w:pStyle w:val="null3"/>
            </w:pPr>
            <w:r>
              <w:rPr/>
              <w:t>磋商有效期</w:t>
            </w:r>
          </w:p>
        </w:tc>
        <w:tc>
          <w:tcPr>
            <w:tcW w:type="dxa" w:w="3322"/>
          </w:tcPr>
          <w:p>
            <w:pPr>
              <w:pStyle w:val="null3"/>
            </w:pPr>
            <w:r>
              <w:rPr/>
              <w:t>自磋商响应文件递交之日起不少于90个日历天</w:t>
            </w:r>
          </w:p>
        </w:tc>
        <w:tc>
          <w:tcPr>
            <w:tcW w:type="dxa" w:w="1661"/>
          </w:tcPr>
          <w:p>
            <w:pPr>
              <w:pStyle w:val="null3"/>
            </w:pPr>
            <w:r>
              <w:rPr/>
              <w:t>响应文件封面 服务内容及服务邀请应答表</w:t>
            </w:r>
          </w:p>
        </w:tc>
      </w:tr>
      <w:tr>
        <w:tc>
          <w:tcPr>
            <w:tcW w:type="dxa" w:w="831"/>
          </w:tcPr>
          <w:p>
            <w:pPr>
              <w:pStyle w:val="null3"/>
            </w:pPr>
            <w:r>
              <w:rPr/>
              <w:t>7</w:t>
            </w:r>
          </w:p>
        </w:tc>
        <w:tc>
          <w:tcPr>
            <w:tcW w:type="dxa" w:w="2492"/>
          </w:tcPr>
          <w:p>
            <w:pPr>
              <w:pStyle w:val="null3"/>
            </w:pPr>
            <w:r>
              <w:rPr/>
              <w:t>首次磋商报价</w:t>
            </w:r>
          </w:p>
        </w:tc>
        <w:tc>
          <w:tcPr>
            <w:tcW w:type="dxa" w:w="3322"/>
          </w:tcPr>
          <w:p>
            <w:pPr>
              <w:pStyle w:val="null3"/>
            </w:pPr>
            <w:r>
              <w:rPr/>
              <w:t>未超过磋商最高限价</w:t>
            </w:r>
          </w:p>
        </w:tc>
        <w:tc>
          <w:tcPr>
            <w:tcW w:type="dxa" w:w="1661"/>
          </w:tcPr>
          <w:p>
            <w:pPr>
              <w:pStyle w:val="null3"/>
            </w:pPr>
            <w:r>
              <w:rPr/>
              <w:t>响应文件封面 报价表</w:t>
            </w:r>
          </w:p>
        </w:tc>
      </w:tr>
      <w:tr>
        <w:tc>
          <w:tcPr>
            <w:tcW w:type="dxa" w:w="831"/>
          </w:tcPr>
          <w:p>
            <w:pPr>
              <w:pStyle w:val="null3"/>
            </w:pPr>
            <w:r>
              <w:rPr/>
              <w:t>8</w:t>
            </w:r>
          </w:p>
        </w:tc>
        <w:tc>
          <w:tcPr>
            <w:tcW w:type="dxa" w:w="2492"/>
          </w:tcPr>
          <w:p>
            <w:pPr>
              <w:pStyle w:val="null3"/>
            </w:pPr>
            <w:r>
              <w:rPr/>
              <w:t>服务期限</w:t>
            </w:r>
          </w:p>
        </w:tc>
        <w:tc>
          <w:tcPr>
            <w:tcW w:type="dxa" w:w="3322"/>
          </w:tcPr>
          <w:p>
            <w:pPr>
              <w:pStyle w:val="null3"/>
            </w:pPr>
            <w:r>
              <w:rPr/>
              <w:t>符合磋商文件要求</w:t>
            </w:r>
          </w:p>
        </w:tc>
        <w:tc>
          <w:tcPr>
            <w:tcW w:type="dxa" w:w="1661"/>
          </w:tcPr>
          <w:p>
            <w:pPr>
              <w:pStyle w:val="null3"/>
            </w:pPr>
            <w:r>
              <w:rPr/>
              <w:t>响应文件封面 服务内容及服务邀请应答表</w:t>
            </w:r>
          </w:p>
        </w:tc>
      </w:tr>
      <w:tr>
        <w:tc>
          <w:tcPr>
            <w:tcW w:type="dxa" w:w="831"/>
          </w:tcPr>
          <w:p>
            <w:pPr>
              <w:pStyle w:val="null3"/>
            </w:pPr>
            <w:r>
              <w:rPr/>
              <w:t>9</w:t>
            </w:r>
          </w:p>
        </w:tc>
        <w:tc>
          <w:tcPr>
            <w:tcW w:type="dxa" w:w="2492"/>
          </w:tcPr>
          <w:p>
            <w:pPr>
              <w:pStyle w:val="null3"/>
            </w:pPr>
            <w:r>
              <w:rPr/>
              <w:t>服务质量</w:t>
            </w:r>
          </w:p>
        </w:tc>
        <w:tc>
          <w:tcPr>
            <w:tcW w:type="dxa" w:w="3322"/>
          </w:tcPr>
          <w:p>
            <w:pPr>
              <w:pStyle w:val="null3"/>
            </w:pPr>
            <w:r>
              <w:rPr/>
              <w:t>符合磋商文件要求</w:t>
            </w:r>
          </w:p>
        </w:tc>
        <w:tc>
          <w:tcPr>
            <w:tcW w:type="dxa" w:w="1661"/>
          </w:tcPr>
          <w:p>
            <w:pPr>
              <w:pStyle w:val="null3"/>
            </w:pPr>
            <w:r>
              <w:rPr/>
              <w:t>响应文件封面 服务内容及服务邀请应答表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对项目背景与工作目标的解读与理解</w:t>
            </w:r>
          </w:p>
        </w:tc>
        <w:tc>
          <w:tcPr>
            <w:tcW w:type="dxa" w:w="2492"/>
          </w:tcPr>
          <w:p>
            <w:pPr>
              <w:pStyle w:val="null3"/>
            </w:pPr>
            <w:r>
              <w:rPr/>
              <w:t>根据供应商对培训及组织活动项目背景、培训内容、培训目标，培训思路等理解程度进行评审。方案完整、合理、针对性强得10分；方案较完整、较合理、针对性较强得7分；方案较完整、合理性、针对性一般得5分；方案不完整、合理性、针对性较差得3分；未提供方案或完全脱离项目实际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整体服务方案</w:t>
            </w:r>
          </w:p>
        </w:tc>
        <w:tc>
          <w:tcPr>
            <w:tcW w:type="dxa" w:w="2492"/>
          </w:tcPr>
          <w:p>
            <w:pPr>
              <w:pStyle w:val="null3"/>
            </w:pPr>
            <w:r>
              <w:rPr/>
              <w:t>根据供应商提供的整体服务方案（包括但不限于培训时长、培训方式等）进行评审。方案完整详细、科学合理、可操作性强得10分；方案较为详细合理,内容基本完整,基本可行得7分；方案不合理,内容基本完整,可行性一般得5分；方案不清晰、不合理,内容不完整,可行性差得3分；未提供方案或完全脱离项目实际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培训内容</w:t>
            </w:r>
          </w:p>
        </w:tc>
        <w:tc>
          <w:tcPr>
            <w:tcW w:type="dxa" w:w="2492"/>
          </w:tcPr>
          <w:p>
            <w:pPr>
              <w:pStyle w:val="null3"/>
            </w:pPr>
            <w:r>
              <w:rPr/>
              <w:t>根据供应商提供的课程讲座内容（包括但不限于内容设计特色鲜明、专题贴近教学实际等）进行评审。 课程内容完整科学，且内容详实全面，针对性强，符合项目实际及需求，得15分；课程内容较完整、较科学、合理，针对性较强，符合项目需求，得10分；课程内容基本符合项目需求，内容较合理，针对性一般，得5分；课程内容不完整、不合理，针对性较差得2分。未提供相关内容或完全脱离项目实际的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进度计划实施方案</w:t>
            </w:r>
          </w:p>
        </w:tc>
        <w:tc>
          <w:tcPr>
            <w:tcW w:type="dxa" w:w="2492"/>
          </w:tcPr>
          <w:p>
            <w:pPr>
              <w:pStyle w:val="null3"/>
            </w:pPr>
            <w:r>
              <w:rPr/>
              <w:t>根据供应商针对培训项目制定的各阶段时间节点安排、工作内容安排等进度计划方案和各阶段的实施计划方案进行评审。方案完善、工作目标明确、科学合理，条理性强得10分；方案较完善、可行、措施和各项工作目标、条理性较强得6分；方案不完整，描述不详细得3分，未提供进度计划实施方案或完全脱离项目实际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项目拟派人员</w:t>
            </w:r>
          </w:p>
        </w:tc>
        <w:tc>
          <w:tcPr>
            <w:tcW w:type="dxa" w:w="2492"/>
          </w:tcPr>
          <w:p>
            <w:pPr>
              <w:pStyle w:val="null3"/>
            </w:pPr>
            <w:r>
              <w:rPr/>
              <w:t>根据供应商针对培训任务配备相关专业团队情况（项目团队的师资实力和简介，包括但不限于学历、专长、授课专题、同类项目工作经验等）进行评审。团队配备完整合理，从业经历及同类项目实施或工作经验丰富得10分；团队配备较合理，从业经历及同类项目工作经验较丰富得7分；团队配备合理性及技术实力一般，基本满足项目需求得5分，团队配备合理性及技术实力较差，得3分；未提供拟派人员方案或完全脱离项目实际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服务质量保证措施</w:t>
            </w:r>
          </w:p>
        </w:tc>
        <w:tc>
          <w:tcPr>
            <w:tcW w:type="dxa" w:w="2492"/>
          </w:tcPr>
          <w:p>
            <w:pPr>
              <w:pStyle w:val="null3"/>
            </w:pPr>
            <w:r>
              <w:rPr/>
              <w:t>根据供应商提供的服务质量保证措施进行评审。措施完整详细、明确具体得9分；措施较完整、较明确、较具体得6分；措施不完整或者不详细不具体得3分；未提供措施或完全脱离项目实际不得分。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培训组织管理安排</w:t>
            </w:r>
          </w:p>
        </w:tc>
        <w:tc>
          <w:tcPr>
            <w:tcW w:type="dxa" w:w="2492"/>
          </w:tcPr>
          <w:p>
            <w:pPr>
              <w:pStyle w:val="null3"/>
            </w:pPr>
            <w:r>
              <w:rPr/>
              <w:t>根据供应商针对本项目的培训组织管理安排进行评审。方案详细具体，安排科学、合理内容全面、思路清晰得10分；实施方案较详细，安排基本合理，思路较清晰得6分；方案内容有缺失、安排实施方案基本全面、思路一般得3分；未提供培训组织管理安排或完全脱离项目实际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根据供应商针对本项目服务内容和要求提供的服务承诺进行评审。方案及承诺详细完整，合理可行得5分；方案及承诺较完整、较合理、较可行得3分；方案不完整、合理性较差得1分；未提供服务承诺或完全脱离项目实际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根据供应商针对本项目提供的项目实施过程中的应急预案（包括但不限于安全、人员聚集等）进行评审。应急预案完备健全，科学性强、合理性强、可行性强得6分；应急预案较为完备健全，方案具有一定科学性、合理性较好、基本可行得4分；应急预案完备程度一般，方案合理性一般、可行性低或需要优化后才能基本满足项目需要得2分。未提供应急预案或应急预案完全脱离项目实际的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供应商须提供2021年11月1日起至今的类似项目业绩，业绩以合同扫描件（复印件）为依据；每提供1个业绩合同得2.5分，最多得5分。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详见附件：陕西省政府采购供应商拒绝政府采购领域商业贿赂承诺书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详见附件：服务合同文本.docx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