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应急管理局综合行政执法用车租赁项目</w:t>
      </w:r>
    </w:p>
    <w:p>
      <w:pPr>
        <w:pStyle w:val="null3"/>
        <w:jc w:val="center"/>
        <w:outlineLvl w:val="2"/>
      </w:pPr>
      <w:r>
        <w:rPr>
          <w:sz w:val="28"/>
          <w:b/>
        </w:rPr>
        <w:t>采购项目编号：</w:t>
      </w:r>
      <w:r>
        <w:rPr>
          <w:sz w:val="28"/>
          <w:b/>
        </w:rPr>
        <w:t>SXZHZC2024-CS169</w:t>
      </w:r>
      <w:r>
        <w:br/>
      </w:r>
      <w:r>
        <w:br/>
      </w:r>
      <w:r>
        <w:br/>
      </w:r>
    </w:p>
    <w:p>
      <w:pPr>
        <w:pStyle w:val="null3"/>
        <w:jc w:val="center"/>
        <w:outlineLvl w:val="2"/>
      </w:pPr>
      <w:r>
        <w:rPr>
          <w:sz w:val="28"/>
          <w:b/>
        </w:rPr>
        <w:t>西安经济技术开发区应急管理局</w:t>
      </w:r>
    </w:p>
    <w:p>
      <w:pPr>
        <w:pStyle w:val="null3"/>
        <w:jc w:val="center"/>
        <w:outlineLvl w:val="2"/>
      </w:pPr>
      <w:r>
        <w:rPr>
          <w:sz w:val="28"/>
          <w:b/>
        </w:rPr>
        <w:t>陕西泽航项目管理有限公司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陕西泽航项目管理有限公司</w:t>
      </w:r>
      <w:r>
        <w:rPr/>
        <w:t>（以下简称“代理机构”）受</w:t>
      </w:r>
      <w:r>
        <w:rPr/>
        <w:t>西安经济技术开发区应急管理局</w:t>
      </w:r>
      <w:r>
        <w:rPr/>
        <w:t>委托，拟对</w:t>
      </w:r>
      <w:r>
        <w:rPr/>
        <w:t>应急管理局综合行政执法用车租赁项目</w:t>
      </w:r>
      <w:r>
        <w:rPr/>
        <w:t>采用竞争性磋商采购方式进行采购，兹邀请供应商参加本项目的竞争性磋商。</w:t>
      </w:r>
    </w:p>
    <w:p>
      <w:pPr>
        <w:pStyle w:val="null3"/>
        <w:outlineLvl w:val="2"/>
      </w:pPr>
      <w:r>
        <w:rPr>
          <w:sz w:val="28"/>
          <w:b/>
        </w:rPr>
        <w:t>一、项目编号：</w:t>
      </w:r>
      <w:r>
        <w:rPr>
          <w:sz w:val="28"/>
          <w:b/>
        </w:rPr>
        <w:t>SXZHZC2024-CS169</w:t>
      </w:r>
    </w:p>
    <w:p>
      <w:pPr>
        <w:pStyle w:val="null3"/>
        <w:outlineLvl w:val="2"/>
      </w:pPr>
      <w:r>
        <w:rPr>
          <w:sz w:val="28"/>
          <w:b/>
        </w:rPr>
        <w:t>二、项目名称：</w:t>
      </w:r>
      <w:r>
        <w:rPr>
          <w:sz w:val="28"/>
          <w:b/>
        </w:rPr>
        <w:t>应急管理局综合行政执法用车租赁项目</w:t>
      </w:r>
    </w:p>
    <w:p>
      <w:pPr>
        <w:pStyle w:val="null3"/>
        <w:outlineLvl w:val="2"/>
      </w:pPr>
      <w:r>
        <w:rPr>
          <w:sz w:val="28"/>
          <w:b/>
        </w:rPr>
        <w:t>三、磋商项目简介</w:t>
      </w:r>
    </w:p>
    <w:p>
      <w:pPr>
        <w:pStyle w:val="null3"/>
        <w:ind w:firstLine="480"/>
      </w:pPr>
      <w:r>
        <w:rPr/>
        <w:t>综合行政执法用车租赁</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三个月内任意一个月养老保险缴纳证明）</w:t>
      </w:r>
    </w:p>
    <w:p>
      <w:pPr>
        <w:pStyle w:val="null3"/>
      </w:pPr>
      <w:r>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西安经济技术开发区应急管理局</w:t>
      </w:r>
    </w:p>
    <w:p>
      <w:pPr>
        <w:pStyle w:val="null3"/>
      </w:pPr>
      <w:r>
        <w:rPr/>
        <w:t xml:space="preserve"> 地址： </w:t>
      </w:r>
      <w:r>
        <w:rPr/>
        <w:t>西安市凤城十二路凯瑞F座</w:t>
      </w:r>
    </w:p>
    <w:p>
      <w:pPr>
        <w:pStyle w:val="null3"/>
      </w:pPr>
      <w:r>
        <w:rPr/>
        <w:t xml:space="preserve"> 邮编： </w:t>
      </w:r>
      <w:r>
        <w:rPr/>
        <w:t>710016</w:t>
      </w:r>
    </w:p>
    <w:p>
      <w:pPr>
        <w:pStyle w:val="null3"/>
      </w:pPr>
      <w:r>
        <w:rPr/>
        <w:t xml:space="preserve"> 联系人： </w:t>
      </w:r>
      <w:r>
        <w:rPr/>
        <w:t>刘老师</w:t>
      </w:r>
    </w:p>
    <w:p>
      <w:pPr>
        <w:pStyle w:val="null3"/>
      </w:pPr>
      <w:r>
        <w:rPr/>
        <w:t xml:space="preserve"> 联系电话： </w:t>
      </w:r>
      <w:r>
        <w:rPr/>
        <w:t>029-86521858</w:t>
      </w:r>
    </w:p>
    <w:p>
      <w:pPr>
        <w:pStyle w:val="null3"/>
        <w:outlineLvl w:val="3"/>
      </w:pPr>
      <w:r>
        <w:rPr>
          <w:sz w:val="24"/>
          <w:b/>
        </w:rPr>
        <w:t>代理机构：</w:t>
      </w:r>
      <w:r>
        <w:rPr>
          <w:sz w:val="24"/>
          <w:b/>
        </w:rPr>
        <w:t>陕西泽航项目管理有限公司</w:t>
      </w:r>
    </w:p>
    <w:p>
      <w:pPr>
        <w:pStyle w:val="null3"/>
      </w:pPr>
      <w:r>
        <w:rPr/>
        <w:t xml:space="preserve"> 地址： </w:t>
      </w:r>
      <w:r>
        <w:rPr/>
        <w:t>陕西省西安市经济技术开发区明光路205号明丰伯马都1幢1单元10909室</w:t>
      </w:r>
    </w:p>
    <w:p>
      <w:pPr>
        <w:pStyle w:val="null3"/>
      </w:pPr>
      <w:r>
        <w:rPr/>
        <w:t xml:space="preserve"> 邮编： </w:t>
      </w:r>
      <w:r>
        <w:rPr/>
        <w:t>710016</w:t>
      </w:r>
    </w:p>
    <w:p>
      <w:pPr>
        <w:pStyle w:val="null3"/>
      </w:pPr>
      <w:r>
        <w:rPr/>
        <w:t xml:space="preserve"> 联系人： </w:t>
      </w:r>
      <w:r>
        <w:rPr/>
        <w:t>海宝会</w:t>
      </w:r>
    </w:p>
    <w:p>
      <w:pPr>
        <w:pStyle w:val="null3"/>
      </w:pPr>
      <w:r>
        <w:rPr/>
        <w:t xml:space="preserve"> 联系电话： </w:t>
      </w:r>
      <w:r>
        <w:rPr/>
        <w:t>029-86477988</w:t>
      </w:r>
    </w:p>
    <w:p>
      <w:pPr>
        <w:pStyle w:val="null3"/>
        <w:outlineLvl w:val="3"/>
      </w:pPr>
      <w:r>
        <w:rPr>
          <w:sz w:val="24"/>
          <w:b/>
        </w:rPr>
        <w:t>采购监督机构：</w:t>
      </w:r>
      <w:r>
        <w:rPr>
          <w:sz w:val="24"/>
          <w:b/>
        </w:rPr>
        <w:t>西安市经济技术开发区财政金融局</w:t>
      </w:r>
    </w:p>
    <w:p>
      <w:pPr>
        <w:pStyle w:val="null3"/>
        <w:ind w:firstLine="480"/>
      </w:pPr>
      <w:r>
        <w:rPr/>
        <w:t>联系人：</w:t>
      </w:r>
      <w:r>
        <w:rPr/>
        <w:t>康老师</w:t>
      </w:r>
    </w:p>
    <w:p>
      <w:pPr>
        <w:pStyle w:val="null3"/>
        <w:ind w:firstLine="480"/>
      </w:pPr>
      <w:r>
        <w:rPr/>
        <w:t>联系电话：</w:t>
      </w:r>
      <w:r>
        <w:rPr/>
        <w:t>029-86538460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采购包1：828,900.00元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西安经济技术开发区应急管理局</w:t>
      </w:r>
      <w:r>
        <w:rPr/>
        <w:t>和</w:t>
      </w:r>
      <w:r>
        <w:rPr/>
        <w:t>陕西泽航项目管理有限公司</w:t>
      </w:r>
      <w:r>
        <w:rPr/>
        <w:t>享有。对磋商文件中供应商参加本次政府采购活动应当具备的条件，磋商项目技术、服务、商务及其他要求，评审细则及标准由</w:t>
      </w:r>
      <w:r>
        <w:rPr/>
        <w:t>西安经济技术开发区应急管理局</w:t>
      </w:r>
      <w:r>
        <w:rPr/>
        <w:t>负责解释。除上述磋商文件内容，其他内容由</w:t>
      </w:r>
      <w:r>
        <w:rPr/>
        <w:t>陕西泽航项目管理有限公司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西安经济技术开发区应急管理局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陕西泽航项目管理有限公司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陕西泽航项目管理有限公司</w:t>
      </w:r>
      <w:r>
        <w:rPr/>
        <w:t xml:space="preserve"> 负责答复；供应商对除采购需求外的采购文件的询问、质疑由</w:t>
      </w:r>
      <w:r>
        <w:rPr/>
        <w:t>陕西泽航项目管理有限公司</w:t>
      </w:r>
      <w:r>
        <w:rPr/>
        <w:t xml:space="preserve"> 负责答复；供应商对采购过程、采购结果的询问、质疑由 </w:t>
      </w:r>
      <w:r>
        <w:rPr/>
        <w:t>陕西泽航项目管理有限公司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联系人：海宝会</w:t>
      </w:r>
    </w:p>
    <w:p>
      <w:pPr>
        <w:pStyle w:val="null3"/>
      </w:pPr>
      <w:r>
        <w:rPr/>
        <w:t>联系电话：029-86477988</w:t>
      </w:r>
    </w:p>
    <w:p>
      <w:pPr>
        <w:pStyle w:val="null3"/>
      </w:pPr>
      <w:r>
        <w:rPr/>
        <w:t>地址：陕西省西安市经济技术开发区明光路205号明丰伯马都1幢1单元10909室</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综合行政执法用车租赁</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828,900.00</w:t>
      </w:r>
    </w:p>
    <w:p>
      <w:pPr>
        <w:pStyle w:val="null3"/>
      </w:pPr>
      <w:r>
        <w:rPr/>
        <w:t>采购包最高限价（元）: 828,900.00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应急管理局综合行政执法用车租赁项目</w:t>
            </w:r>
          </w:p>
        </w:tc>
        <w:tc>
          <w:tcPr>
            <w:tcW w:type="dxa" w:w="831"/>
          </w:tcPr>
          <w:p>
            <w:pPr>
              <w:pStyle w:val="null3"/>
              <w:jc w:val="right"/>
            </w:pPr>
            <w:r>
              <w:rPr/>
              <w:t>1.00</w:t>
            </w:r>
          </w:p>
        </w:tc>
        <w:tc>
          <w:tcPr>
            <w:tcW w:type="dxa" w:w="831"/>
          </w:tcPr>
          <w:p>
            <w:pPr>
              <w:pStyle w:val="null3"/>
              <w:jc w:val="right"/>
            </w:pPr>
            <w:r>
              <w:rPr/>
              <w:t>828,900.00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标的名称：应急管理局综合行政执法用车租赁项目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数量：</w:t>
            </w:r>
            <w:r>
              <w:rPr>
                <w:rFonts w:ascii="宋体" w:hAnsi="宋体" w:cs="宋体" w:eastAsia="宋体"/>
                <w:sz w:val="21"/>
              </w:rPr>
              <w:t>5辆五座新能源车</w:t>
            </w:r>
          </w:p>
        </w:tc>
      </w:tr>
      <w:tr>
        <w:tc>
          <w:tcPr>
            <w:tcW w:type="dxa" w:w="2769"/>
          </w:tcPr>
          <w:p>
            <w:pPr>
              <w:pStyle w:val="null3"/>
            </w:pPr>
            <w:r>
              <w:rPr/>
              <w:t>▲</w:t>
            </w:r>
          </w:p>
        </w:tc>
        <w:tc>
          <w:tcPr>
            <w:tcW w:type="dxa" w:w="2769"/>
          </w:tcPr>
          <w:p>
            <w:pPr>
              <w:pStyle w:val="null3"/>
            </w:pPr>
            <w:r>
              <w:rPr/>
              <w:t>2</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623"/>
              <w:gridCol w:w="1925"/>
            </w:tblGrid>
            <w:tr>
              <w:tc>
                <w:tcPr>
                  <w:tcW w:type="dxa" w:w="6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仿宋" w:hAnsi="仿宋" w:cs="仿宋" w:eastAsia="仿宋"/>
                      <w:sz w:val="24"/>
                    </w:rPr>
                    <w:t>车身尺寸</w:t>
                  </w:r>
                </w:p>
              </w:tc>
              <w:tc>
                <w:tcPr>
                  <w:tcW w:type="dxa" w:w="19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仿宋" w:hAnsi="仿宋" w:cs="仿宋" w:eastAsia="仿宋"/>
                      <w:sz w:val="24"/>
                    </w:rPr>
                    <w:t>长宽高尺寸</w:t>
                  </w:r>
                  <w:r>
                    <w:rPr>
                      <w:rFonts w:ascii="宋体" w:hAnsi="宋体" w:cs="宋体" w:eastAsia="宋体"/>
                      <w:sz w:val="24"/>
                    </w:rPr>
                    <w:t>≥</w:t>
                  </w:r>
                  <w:r>
                    <w:rPr>
                      <w:rFonts w:ascii="仿宋" w:hAnsi="仿宋" w:cs="仿宋" w:eastAsia="仿宋"/>
                      <w:sz w:val="24"/>
                    </w:rPr>
                    <w:t>3660*1610*1510</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座位排数（排）</w:t>
                  </w:r>
                </w:p>
              </w:tc>
              <w:tc>
                <w:tcPr>
                  <w:tcW w:type="dxa" w:w="19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仿宋" w:hAnsi="仿宋" w:cs="仿宋" w:eastAsia="仿宋"/>
                      <w:sz w:val="24"/>
                    </w:rPr>
                    <w:t>2</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驱动形式</w:t>
                  </w:r>
                </w:p>
              </w:tc>
              <w:tc>
                <w:tcPr>
                  <w:tcW w:type="dxa" w:w="19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前轮驱动</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燃料种类</w:t>
                  </w:r>
                </w:p>
              </w:tc>
              <w:tc>
                <w:tcPr>
                  <w:tcW w:type="dxa" w:w="19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纯电动</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最高车速（</w:t>
                  </w:r>
                  <w:r>
                    <w:rPr>
                      <w:rFonts w:ascii="仿宋" w:hAnsi="仿宋" w:cs="仿宋" w:eastAsia="仿宋"/>
                      <w:sz w:val="24"/>
                    </w:rPr>
                    <w:t>km/h）</w:t>
                  </w:r>
                </w:p>
              </w:tc>
              <w:tc>
                <w:tcPr>
                  <w:tcW w:type="dxa" w:w="19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4"/>
                    </w:rPr>
                    <w:t>≥</w:t>
                  </w:r>
                  <w:r>
                    <w:rPr>
                      <w:rFonts w:ascii="仿宋" w:hAnsi="仿宋" w:cs="仿宋" w:eastAsia="仿宋"/>
                      <w:sz w:val="24"/>
                    </w:rPr>
                    <w:t>100</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工况法、等速法续航里程（</w:t>
                  </w:r>
                  <w:r>
                    <w:rPr>
                      <w:rFonts w:ascii="仿宋" w:hAnsi="仿宋" w:cs="仿宋" w:eastAsia="仿宋"/>
                      <w:sz w:val="24"/>
                    </w:rPr>
                    <w:t>km)</w:t>
                  </w:r>
                </w:p>
              </w:tc>
              <w:tc>
                <w:tcPr>
                  <w:tcW w:type="dxa" w:w="19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4"/>
                    </w:rPr>
                    <w:t>≥</w:t>
                  </w:r>
                  <w:r>
                    <w:rPr>
                      <w:rFonts w:ascii="仿宋" w:hAnsi="仿宋" w:cs="仿宋" w:eastAsia="仿宋"/>
                      <w:sz w:val="24"/>
                    </w:rPr>
                    <w:t>250</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动力蓄电池种类</w:t>
                  </w:r>
                </w:p>
              </w:tc>
              <w:tc>
                <w:tcPr>
                  <w:tcW w:type="dxa" w:w="19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三元材料锂电池</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pPr>
                  <w:r>
                    <w:rPr>
                      <w:rFonts w:ascii="仿宋" w:hAnsi="仿宋" w:cs="仿宋" w:eastAsia="仿宋"/>
                      <w:sz w:val="24"/>
                    </w:rPr>
                    <w:t>加速时间（</w:t>
                  </w:r>
                  <w:r>
                    <w:rPr>
                      <w:rFonts w:ascii="仿宋" w:hAnsi="仿宋" w:cs="仿宋" w:eastAsia="仿宋"/>
                      <w:sz w:val="24"/>
                    </w:rPr>
                    <w:t>s，备注车速）</w:t>
                  </w:r>
                </w:p>
              </w:tc>
              <w:tc>
                <w:tcPr>
                  <w:tcW w:type="dxa" w:w="19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4"/>
                    </w:rPr>
                    <w:t>（</w:t>
                  </w:r>
                  <w:r>
                    <w:rPr>
                      <w:rFonts w:ascii="仿宋" w:hAnsi="仿宋" w:cs="仿宋" w:eastAsia="仿宋"/>
                      <w:sz w:val="24"/>
                    </w:rPr>
                    <w:t>0～50）km/h</w:t>
                  </w:r>
                  <w:r>
                    <w:rPr/>
                    <w:t xml:space="preserve"> </w:t>
                  </w:r>
                  <w:r>
                    <w:rPr>
                      <w:rFonts w:ascii="仿宋" w:hAnsi="仿宋" w:cs="仿宋" w:eastAsia="仿宋"/>
                      <w:sz w:val="24"/>
                    </w:rPr>
                    <w:t>加速时间</w:t>
                  </w:r>
                  <w:r>
                    <w:rPr>
                      <w:rFonts w:ascii="仿宋" w:hAnsi="仿宋" w:cs="仿宋" w:eastAsia="仿宋"/>
                      <w:sz w:val="24"/>
                    </w:rPr>
                    <w:t>≤10S</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最小离地间隙</w:t>
                  </w:r>
                  <w:r>
                    <w:rPr/>
                    <w:t xml:space="preserve"> </w:t>
                  </w:r>
                  <w:r>
                    <w:rPr>
                      <w:rFonts w:ascii="仿宋" w:hAnsi="仿宋" w:cs="仿宋" w:eastAsia="仿宋"/>
                      <w:sz w:val="24"/>
                    </w:rPr>
                    <w:t>mm</w:t>
                  </w:r>
                </w:p>
              </w:tc>
              <w:tc>
                <w:tcPr>
                  <w:tcW w:type="dxa" w:w="19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宋体" w:hAnsi="宋体" w:cs="宋体" w:eastAsia="宋体"/>
                      <w:sz w:val="24"/>
                    </w:rPr>
                    <w:t>≥</w:t>
                  </w:r>
                  <w:r>
                    <w:rPr>
                      <w:rFonts w:ascii="仿宋" w:hAnsi="仿宋" w:cs="仿宋" w:eastAsia="仿宋"/>
                      <w:sz w:val="24"/>
                    </w:rPr>
                    <w:t>115</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充电时间（</w:t>
                  </w:r>
                  <w:r>
                    <w:rPr>
                      <w:rFonts w:ascii="仿宋" w:hAnsi="仿宋" w:cs="仿宋" w:eastAsia="仿宋"/>
                      <w:sz w:val="24"/>
                    </w:rPr>
                    <w:t>h）</w:t>
                  </w:r>
                </w:p>
              </w:tc>
              <w:tc>
                <w:tcPr>
                  <w:tcW w:type="dxa" w:w="19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快充</w:t>
                  </w:r>
                  <w:r>
                    <w:rPr/>
                    <w:t xml:space="preserve"> </w:t>
                  </w:r>
                  <w:r>
                    <w:rPr>
                      <w:rFonts w:ascii="仿宋" w:hAnsi="仿宋" w:cs="仿宋" w:eastAsia="仿宋"/>
                      <w:sz w:val="24"/>
                    </w:rPr>
                    <w:t>30%-80%≤1.5h</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随车工具</w:t>
                  </w:r>
                </w:p>
              </w:tc>
              <w:tc>
                <w:tcPr>
                  <w:tcW w:type="dxa" w:w="19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 w:hAnsi="仿宋" w:cs="仿宋" w:eastAsia="仿宋"/>
                      <w:sz w:val="24"/>
                    </w:rPr>
                    <w:t>工具包、三角警示牌、灭火器、千斤顶</w:t>
                  </w:r>
                </w:p>
              </w:tc>
            </w:tr>
            <w:tr>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4"/>
                    </w:rPr>
                    <w:t>其他配置</w:t>
                  </w:r>
                </w:p>
              </w:tc>
              <w:tc>
                <w:tcPr>
                  <w:tcW w:type="dxa" w:w="1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2"/>
                    <w:jc w:val="both"/>
                  </w:pPr>
                  <w:r>
                    <w:rPr>
                      <w:rFonts w:ascii="仿宋" w:hAnsi="仿宋" w:cs="仿宋" w:eastAsia="仿宋"/>
                      <w:sz w:val="24"/>
                    </w:rPr>
                    <w:t>具有助力转向、主、副驾三点式安全带、</w:t>
                  </w:r>
                  <w:r>
                    <w:rPr>
                      <w:rFonts w:ascii="仿宋" w:hAnsi="仿宋" w:cs="仿宋" w:eastAsia="仿宋"/>
                      <w:sz w:val="24"/>
                    </w:rPr>
                    <w:t>ABS、防溜坡功能、</w:t>
                  </w:r>
                  <w:r>
                    <w:rPr/>
                    <w:t xml:space="preserve"> </w:t>
                  </w:r>
                  <w:r>
                    <w:rPr>
                      <w:rFonts w:ascii="仿宋" w:hAnsi="仿宋" w:cs="仿宋" w:eastAsia="仿宋"/>
                      <w:sz w:val="24"/>
                    </w:rPr>
                    <w:t>主</w:t>
                  </w:r>
                  <w:r>
                    <w:rPr>
                      <w:rFonts w:ascii="仿宋" w:hAnsi="仿宋" w:cs="仿宋" w:eastAsia="仿宋"/>
                      <w:sz w:val="24"/>
                    </w:rPr>
                    <w:t>/副驾遮阳板、电动玻璃升降器、间歇式前雨刮、遥控钥匙、</w:t>
                  </w:r>
                  <w:r>
                    <w:rPr/>
                    <w:t xml:space="preserve"> </w:t>
                  </w:r>
                  <w:r>
                    <w:rPr>
                      <w:rFonts w:ascii="仿宋" w:hAnsi="仿宋" w:cs="仿宋" w:eastAsia="仿宋"/>
                      <w:sz w:val="24"/>
                    </w:rPr>
                    <w:t>中控门锁、车辆基础设施、收音机</w:t>
                  </w:r>
                  <w:r>
                    <w:rPr>
                      <w:rFonts w:ascii="仿宋" w:hAnsi="仿宋" w:cs="仿宋" w:eastAsia="仿宋"/>
                      <w:sz w:val="24"/>
                    </w:rPr>
                    <w:t>/USB</w:t>
                  </w:r>
                  <w:r>
                    <w:rPr/>
                    <w:t xml:space="preserve"> </w:t>
                  </w:r>
                  <w:r>
                    <w:rPr>
                      <w:rFonts w:ascii="仿宋" w:hAnsi="仿宋" w:cs="仿宋" w:eastAsia="仿宋"/>
                      <w:sz w:val="24"/>
                    </w:rPr>
                    <w:t>接口、冷暖一体式前</w:t>
                  </w:r>
                  <w:r>
                    <w:rPr>
                      <w:rFonts w:ascii="仿宋" w:hAnsi="仿宋" w:cs="仿宋" w:eastAsia="仿宋"/>
                      <w:sz w:val="24"/>
                    </w:rPr>
                    <w:t>空调</w:t>
                  </w:r>
                </w:p>
              </w:tc>
            </w:tr>
          </w:tbl>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（一）纯电动车辆，为采购人就近提供充电场所； （二）车辆的保险、维修、保养等由供应商全面负责； （三）车辆维修时，供应商须提供替换车辆，保障工作用车需求； （四）供应商应提供证件齐全有效的车辆，保证车况良好。</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服务期限3年</w:t>
      </w:r>
    </w:p>
    <w:p>
      <w:pPr>
        <w:pStyle w:val="null3"/>
        <w:outlineLvl w:val="3"/>
      </w:pPr>
      <w:r>
        <w:rPr>
          <w:sz w:val="24"/>
          <w:b/>
        </w:rPr>
        <w:t>3.3.2服务地点</w:t>
      </w:r>
    </w:p>
    <w:p>
      <w:pPr>
        <w:pStyle w:val="null3"/>
      </w:pPr>
      <w:r>
        <w:rPr/>
        <w:t>采购包1：</w:t>
      </w:r>
    </w:p>
    <w:p>
      <w:pPr>
        <w:pStyle w:val="null3"/>
      </w:pPr>
      <w:r>
        <w:rPr/>
        <w:t>采购人指定</w:t>
      </w:r>
    </w:p>
    <w:p>
      <w:pPr>
        <w:pStyle w:val="null3"/>
        <w:outlineLvl w:val="3"/>
      </w:pPr>
      <w:r>
        <w:rPr>
          <w:sz w:val="24"/>
          <w:b/>
        </w:rPr>
        <w:t>3.3.3考核（验收）标准和方法</w:t>
      </w:r>
    </w:p>
    <w:p>
      <w:pPr>
        <w:pStyle w:val="null3"/>
      </w:pPr>
      <w:r>
        <w:rPr/>
        <w:t>采购包1：</w:t>
      </w:r>
    </w:p>
    <w:p>
      <w:pPr>
        <w:pStyle w:val="null3"/>
      </w:pPr>
      <w:r>
        <w:rPr/>
        <w:t>经甲方验收合格后，确定项目完成。</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成交单位提供相应数量的车辆。采购人在接收且验收合格后</w:t>
      </w:r>
      <w:r>
        <w:rPr/>
        <w:t xml:space="preserve"> ，达到付款条件起 </w:t>
      </w:r>
      <w:r>
        <w:rPr/>
        <w:t>3</w:t>
      </w:r>
      <w:r>
        <w:rPr/>
        <w:t xml:space="preserve"> 日内，支付合同总金额的 </w:t>
      </w:r>
      <w:r>
        <w:rPr/>
        <w:t>90.00</w:t>
      </w:r>
      <w:r>
        <w:rPr/>
        <w:t>%。</w:t>
      </w:r>
    </w:p>
    <w:p>
      <w:pPr>
        <w:pStyle w:val="null3"/>
      </w:pPr>
      <w:r>
        <w:rPr/>
        <w:t>采购包1：</w:t>
      </w:r>
      <w:r>
        <w:rPr/>
        <w:t xml:space="preserve"> 付款条件说明： </w:t>
      </w:r>
      <w:r>
        <w:rPr/>
        <w:t>服务期满后</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按照合同约定执行，详见合同附件。</w:t>
      </w:r>
    </w:p>
    <w:p>
      <w:pPr>
        <w:pStyle w:val="null3"/>
        <w:outlineLvl w:val="2"/>
      </w:pPr>
      <w:r>
        <w:rPr>
          <w:sz w:val="28"/>
          <w:b/>
        </w:rPr>
        <w:t>3.4其他要求</w:t>
      </w:r>
    </w:p>
    <w:p>
      <w:pPr>
        <w:pStyle w:val="null3"/>
      </w:pPr>
      <w:r>
        <w:rPr/>
        <w:t>成交供应商在领取成交通知书前，须向采购代理机构提供纸质版响应文件3套（1正2副），U盘2份（包括响应文件的全部内容）且提供的响应文件必须与在陕西省政府采购综合管理平台的项目电子化交易系统中递交的电子响应文件内容一致，纸质版响应文件必须装订成册签字盖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上传2022年度或2023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直接参加磋商的，须出具法定代表人身份证明。法定代表人委托代理人参加磋商的，须出具法定代表人授权书（附法定代表人、代理人身份证复印件）及代理人本单位证明（响应文件提交截止日前三个月内任意一个月养老保险缴纳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响应文件中项目名称、项目编号</w:t>
            </w:r>
          </w:p>
        </w:tc>
        <w:tc>
          <w:tcPr>
            <w:tcW w:type="dxa" w:w="3322"/>
          </w:tcPr>
          <w:p>
            <w:pPr>
              <w:pStyle w:val="null3"/>
            </w:pPr>
            <w:r>
              <w:rPr/>
              <w:t>与所投项目名称、项目编号完全一致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符合磋商文件签署盖章要求</w:t>
            </w:r>
          </w:p>
        </w:tc>
        <w:tc>
          <w:tcPr>
            <w:tcW w:type="dxa" w:w="1661"/>
          </w:tcPr>
          <w:p>
            <w:pPr>
              <w:pStyle w:val="null3"/>
            </w:pPr>
            <w:r>
              <w:rPr/>
              <w:t>响应文件封面 资格证明文件 业绩证明材料 中小企业声明函 残疾人福利性单位声明函 服务方案 标的清单 陕西省政府采购供应商拒绝政府采购领域商业贿赂承诺书 技术和商务偏离表 响应函 合同条款响应 监狱企业的证明文件</w:t>
            </w:r>
          </w:p>
        </w:tc>
      </w:tr>
      <w:tr>
        <w:tc>
          <w:tcPr>
            <w:tcW w:type="dxa" w:w="831"/>
          </w:tcPr>
          <w:p>
            <w:pPr>
              <w:pStyle w:val="null3"/>
            </w:pPr>
            <w:r>
              <w:rPr/>
              <w:t>4</w:t>
            </w:r>
          </w:p>
        </w:tc>
        <w:tc>
          <w:tcPr>
            <w:tcW w:type="dxa" w:w="2492"/>
          </w:tcPr>
          <w:p>
            <w:pPr>
              <w:pStyle w:val="null3"/>
            </w:pPr>
            <w:r>
              <w:rPr/>
              <w:t>服务期</w:t>
            </w:r>
          </w:p>
        </w:tc>
        <w:tc>
          <w:tcPr>
            <w:tcW w:type="dxa" w:w="3322"/>
          </w:tcPr>
          <w:p>
            <w:pPr>
              <w:pStyle w:val="null3"/>
            </w:pPr>
            <w:r>
              <w:rPr/>
              <w:t>符合磋商文件要求</w:t>
            </w:r>
          </w:p>
        </w:tc>
        <w:tc>
          <w:tcPr>
            <w:tcW w:type="dxa" w:w="1661"/>
          </w:tcPr>
          <w:p>
            <w:pPr>
              <w:pStyle w:val="null3"/>
            </w:pPr>
            <w:r>
              <w:rPr/>
              <w:t>技术和商务偏离表 合同条款响应</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1.磋商报价唯一； 2.报价货币符合磋商文件要求； 3.未超出采购预算或磋商文件规定的最高限价</w:t>
            </w:r>
          </w:p>
        </w:tc>
        <w:tc>
          <w:tcPr>
            <w:tcW w:type="dxa" w:w="1661"/>
          </w:tcPr>
          <w:p>
            <w:pPr>
              <w:pStyle w:val="null3"/>
            </w:pPr>
            <w:r>
              <w:rPr/>
              <w:t>标的清单</w:t>
            </w:r>
          </w:p>
        </w:tc>
      </w:tr>
      <w:tr>
        <w:tc>
          <w:tcPr>
            <w:tcW w:type="dxa" w:w="831"/>
          </w:tcPr>
          <w:p>
            <w:pPr>
              <w:pStyle w:val="null3"/>
            </w:pPr>
            <w:r>
              <w:rPr/>
              <w:t>6</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合同条款响应</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无磋商文件中规定的无效情形</w:t>
            </w:r>
          </w:p>
        </w:tc>
        <w:tc>
          <w:tcPr>
            <w:tcW w:type="dxa" w:w="1661"/>
          </w:tcPr>
          <w:p>
            <w:pPr>
              <w:pStyle w:val="null3"/>
            </w:pPr>
            <w:r>
              <w:rPr/>
              <w:t>服务方案 技术和商务偏离表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评审内容 ①服务理念及优势②服务目标及标准③服务工作流程。以上内容阐述明确、全面、合理得15分，评审内容每缺一项扣5分,评审内容有缺陷（缺陷指内容明显错误，或内容表述前后矛盾、内容不完整、表达简单笼统、缺少关键点，或不适用本项目特性等）的扣0.1-4.9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车辆安排方案</w:t>
            </w:r>
          </w:p>
        </w:tc>
        <w:tc>
          <w:tcPr>
            <w:tcW w:type="dxa" w:w="2492"/>
          </w:tcPr>
          <w:p>
            <w:pPr>
              <w:pStyle w:val="null3"/>
            </w:pPr>
            <w:r>
              <w:rPr/>
              <w:t>评审内容：针对本项目所投入的车辆安排方案 评审标准：提供车辆安排方案全面、实施步骤清晰、合理完全符合项目需求得7分，评审内容有缺陷（缺陷是指：内容粗略、逻辑混乱、描述过于简单、与项目特点不匹配、凭空编造、出现常识性错误或只有标题没有实质性内容等）的扣0.1-6.9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车辆技术参数指标和功能</w:t>
            </w:r>
          </w:p>
        </w:tc>
        <w:tc>
          <w:tcPr>
            <w:tcW w:type="dxa" w:w="2492"/>
          </w:tcPr>
          <w:p>
            <w:pPr>
              <w:pStyle w:val="null3"/>
            </w:pPr>
            <w:r>
              <w:rPr/>
              <w:t>评审内容：技术参数指标和功能 评审标准：所投产品技术参数清楚、明确并能逐条响应磋商文件中技术参数，以技术响应偏离表中响应内容及提供的佐证资料（包含但不仅限于产品彩页、官网参数证明、质检报告等），完全满足得10分。负偏离每项扣1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车辆行驶证复印件</w:t>
            </w:r>
          </w:p>
        </w:tc>
        <w:tc>
          <w:tcPr>
            <w:tcW w:type="dxa" w:w="2492"/>
          </w:tcPr>
          <w:p>
            <w:pPr>
              <w:pStyle w:val="null3"/>
            </w:pPr>
            <w:r>
              <w:rPr/>
              <w:t>评审内容：车辆行驶证复印件（5辆） 评审标准：车辆行驶证单位名称与供应商名称一致，若不一致需提供相关租赁合同或其他证明资料，所配备车辆证件齐全，满足采购需求数量的得5分，不满足不得分。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车辆里程</w:t>
            </w:r>
          </w:p>
        </w:tc>
        <w:tc>
          <w:tcPr>
            <w:tcW w:type="dxa" w:w="2492"/>
          </w:tcPr>
          <w:p>
            <w:pPr>
              <w:pStyle w:val="null3"/>
            </w:pPr>
            <w:r>
              <w:rPr/>
              <w:t>提供的车辆根据车辆行驶里程,最高计5分，其中： ①提供车辆行驶距离为0-25000公里的，每辆计1分； ②提供车辆行驶距离为25001-35000公里的，每辆计0.5分； ③提供车辆行驶距离为35001公里以上的，每辆计0.2分。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车辆保险</w:t>
            </w:r>
          </w:p>
        </w:tc>
        <w:tc>
          <w:tcPr>
            <w:tcW w:type="dxa" w:w="2492"/>
          </w:tcPr>
          <w:p>
            <w:pPr>
              <w:pStyle w:val="null3"/>
            </w:pPr>
            <w:r>
              <w:rPr/>
              <w:t>供应商所提供的车辆全部缴纳交通强制险及商业险(第三者责任险、车损险)，其中第三者责任险保额为200万及以上的，每提供一辆得1分，保额为100万的每提供一辆得0.5分，保额为100万以下的每提供一辆得0.1分，其余不得分，本项满分5分。（提供有效保险单）</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评审内容：①详细功能和性能②日常使用操作③常见故障的排除及紧急情况的处理 评审标准：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配套服务措施</w:t>
            </w:r>
          </w:p>
        </w:tc>
        <w:tc>
          <w:tcPr>
            <w:tcW w:type="dxa" w:w="2492"/>
          </w:tcPr>
          <w:p>
            <w:pPr>
              <w:pStyle w:val="null3"/>
            </w:pPr>
            <w:r>
              <w:rPr/>
              <w:t>评审内容：①充电场地安排②车辆保养措施 ①评审标准：充电场地与采购单位距离2公里以内得4分，距离2-4公里得2分，其余不得分。 ②评审标准：方案各部分内容全面详细、阐述条理清晰详尽、符合本项目采购需求得3分；评审内容缺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应急方案</w:t>
            </w:r>
          </w:p>
        </w:tc>
        <w:tc>
          <w:tcPr>
            <w:tcW w:type="dxa" w:w="2492"/>
          </w:tcPr>
          <w:p>
            <w:pPr>
              <w:pStyle w:val="null3"/>
            </w:pPr>
            <w:r>
              <w:rPr/>
              <w:t>评审内容：①制定车辆替换方案，保证车辆正常运行②设置项目负责人提供应急服务 评审标准:方案各部分内容全面详细、阐述条理清晰详尽、车辆维修或保养时，供应商能提供替换车辆，满足用车需求，服务人员信息齐全，服务高效符合本项目采购需求得8分;评审内容每缺一项扣4分；评审内容有缺陷（缺陷是指：内容粗略、逻辑混乱、描述过于简单、与项目特点不匹配、人员信息不全、存在不适用项目实际情况的情形或只有标题没有实质性内容等）的扣0.1-3.9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评审内容：①服务标准②服务范围③服务内容④响应时间、故障处理（如车辆抛锚、交通事故等）及补救措施⑤车辆定期维护、检修、清洁服务。 评审标准:方案各部分内容全面详细、阐述条理清晰详尽、符合本项目采购需求得15分;评审内容每缺一项扣3分；评审内容有缺陷（缺陷是指：内容粗略、逻辑混乱、描述过于简单、与项目特点不匹配、服务响应时间超2小时、出现常识性错误、存在不适用项目实际情况的情形或只有标题没有实质性内容等）的扣0.1-2.9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提供供应商2021年1月至响应文件递交截止日类似项目业绩（以合同复印件为准），每提供一份业绩得2分，最高得4分。若提供虚假业绩，一经发现，按无效磋商处理。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详见附件：合同条款响应</w:t>
      </w:r>
    </w:p>
    <w:p>
      <w:pPr>
        <w:pStyle w:val="null3"/>
        <w:ind w:firstLine="960"/>
      </w:pPr>
      <w:r>
        <w:rPr/>
        <w:t>详见附件：技术和商务偏离表</w:t>
      </w:r>
    </w:p>
    <w:p>
      <w:pPr>
        <w:pStyle w:val="null3"/>
        <w:ind w:firstLine="960"/>
      </w:pPr>
      <w:r>
        <w:rPr/>
        <w:t>详见附件：陕西省政府采购供应商拒绝政府采购领域商业贿赂承诺书</w:t>
      </w:r>
    </w:p>
    <w:p>
      <w:pPr>
        <w:pStyle w:val="null3"/>
        <w:ind w:firstLine="960"/>
      </w:pPr>
      <w:r>
        <w:rPr/>
        <w:t>详见附件：业绩证明材料</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