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版本号：ZCZX2025-CS-00420250113001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西安经开区网络媒体矩阵完善建设项目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ZCZX2025-CS-004</w:t>
      </w:r>
      <w:r>
        <w:br/>
      </w:r>
      <w:r>
        <w:br/>
      </w:r>
      <w:r>
        <w:br/>
      </w:r>
    </w:p>
    <w:p>
      <w:pPr>
        <w:pStyle w:val="null3"/>
        <w:jc w:val="center"/>
        <w:outlineLvl w:val="2"/>
      </w:pPr>
      <w:r>
        <w:rPr>
          <w:rFonts w:ascii="仿宋_GB2312" w:hAnsi="仿宋_GB2312" w:cs="仿宋_GB2312" w:eastAsia="仿宋_GB2312"/>
          <w:sz w:val="28"/>
          <w:b/>
        </w:rPr>
        <w:t>西安经济技术开发区宣传文旅局</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西安经济技术开发区宣传文旅局</w:t>
      </w:r>
      <w:r>
        <w:rPr>
          <w:rFonts w:ascii="仿宋_GB2312" w:hAnsi="仿宋_GB2312" w:cs="仿宋_GB2312" w:eastAsia="仿宋_GB2312"/>
        </w:rPr>
        <w:t>委托，拟对</w:t>
      </w:r>
      <w:r>
        <w:rPr>
          <w:rFonts w:ascii="仿宋_GB2312" w:hAnsi="仿宋_GB2312" w:cs="仿宋_GB2312" w:eastAsia="仿宋_GB2312"/>
        </w:rPr>
        <w:t>西安经开区网络媒体矩阵完善建设项目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西安经开区网络媒体矩阵完善建设项目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概况：综合经开区推广宣传工作实际情况，对接联系在中省市有影响力的官方网络媒体，建设经开区网络媒体宣发矩阵；在合作方式上，除日常的稿件发布之外，还将在重要工作节点进行深度报道、专题宣传和新媒体产品制作等形式，满足不断提升的网络宣传需求；同时负责媒体对接管理、合约执行监督、数据抓取汇总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采购包1（西安经开区网络媒体矩阵完善建设项目）：属于专门面向中小企业采购。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西安经济技术开发区宣传文旅局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西安市未央区明光路166号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司老师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029-86529433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吴芳超 褚振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029-86522654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西安经济技术开发区宣传文旅局</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西安经济技术开发区宣传文旅局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西安经济技术开发区宣传文旅局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由采购人组织验收，成交供应商提供服务期间所有活动资料。</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联系人：吴芳超</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综合经开区推广宣传工作实际情况，对接联系在中省市有影响力的官方网络媒体，建设经开区网络媒体宣发矩阵；在合作方式上，除日常的稿件发布之外，还将在重要工作节点进行深度报道、专题宣传和新媒体产品制作等形式，满足不断提升的网络宣传需求；同时负责媒体对接管理、合约执行监督、数据抓取汇总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1,340,000.00</w:t>
      </w:r>
    </w:p>
    <w:p>
      <w:pPr>
        <w:pStyle w:val="null3"/>
      </w:pPr>
      <w:r>
        <w:rPr>
          <w:rFonts w:ascii="仿宋_GB2312" w:hAnsi="仿宋_GB2312" w:cs="仿宋_GB2312" w:eastAsia="仿宋_GB2312"/>
        </w:rPr>
        <w:t>采购包最高限价（元）: 1,340,000.00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西安经开区网络媒体矩阵完善建设项目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标的名称：西安经开区网络媒体矩阵完善建设项目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4"/>
                <w:b/>
              </w:rPr>
              <w:t>项目概况：</w:t>
            </w:r>
            <w:r>
              <w:rPr>
                <w:rFonts w:ascii="仿宋_GB2312" w:hAnsi="仿宋_GB2312" w:cs="仿宋_GB2312" w:eastAsia="仿宋_GB2312"/>
                <w:sz w:val="24"/>
              </w:rPr>
              <w:t>综合经开区推广宣传工作实际情况，对接联系在中省市有影响力的官方网络媒体，建设经开区网络媒体宣发矩阵；在合作方式上，除日常的稿件发布之外，还将在重要工作节点进行深度报道、专题宣传和新媒体产品制作等形式，满足不断提升的网络宣传需求；同时负责媒体对接管理、合约执行监督、数据抓取汇总等工作。</w:t>
            </w:r>
          </w:p>
          <w:tbl>
            <w:tblPr>
              <w:tblBorders>
                <w:top w:val="none" w:color="000000" w:sz="4"/>
                <w:left w:val="none" w:color="000000" w:sz="4"/>
                <w:bottom w:val="none" w:color="000000" w:sz="4"/>
                <w:right w:val="none" w:color="000000" w:sz="4"/>
                <w:insideH w:val="none"/>
                <w:insideV w:val="none"/>
              </w:tblBorders>
            </w:tblPr>
            <w:tblGrid>
              <w:gridCol w:w="98"/>
              <w:gridCol w:w="151"/>
              <w:gridCol w:w="226"/>
              <w:gridCol w:w="406"/>
              <w:gridCol w:w="177"/>
              <w:gridCol w:w="802"/>
            </w:tblGrid>
            <w:tr>
              <w:tc>
                <w:tcPr>
                  <w:tcW w:type="dxa" w:w="9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档位</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档位类别</w:t>
                  </w: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媒体</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月发稿量/条</w:t>
                  </w:r>
                </w:p>
              </w:tc>
              <w:tc>
                <w:tcPr>
                  <w:tcW w:type="dxa" w:w="8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服务内容</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中央新闻媒体</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二挡A</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中国日报网</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 xml:space="preserve">35 </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全年稿件不少于420条</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5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二档A</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中华网</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全年专题报道不少于5篇； 全年稿件不少于480条</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5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二档A</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中国青年网</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45</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全年专题报道不少于5篇；</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15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二档A</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国际在线</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全年专题报道不少于5篇；国际在线总网发布4篇；全年稿件不少于480条</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15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二档A</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中国新闻网</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全年专题报道不少于5篇； 全年稿件不少于300条</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15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二档A</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中国网</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全年专题报道不少于5篇；全年稿件不少于180条</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15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二档A</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央视网</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条5分钟左右宣片 ，全年稿件不低于120篇</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15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二档A</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光明网+长安事记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总网刊发全年50篇；每月原创专题报到1篇，全年12篇今日头条号《长安事记》择优发布</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省级新闻媒体</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二档B</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陕西科技传媒网</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130</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专题报道不少于3篇； 全年稿件不低于1500篇</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15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二档B</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陕西网</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80</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专题报道不少于5篇；全年稿件不低于1200篇</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15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二档B</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起点新闻+西部网</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全年稿件不低于600篇</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15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二档B</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阳光网</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45</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全年稿件不低于540篇</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w:t>
                  </w:r>
                </w:p>
              </w:tc>
              <w:tc>
                <w:tcPr>
                  <w:tcW w:type="dxa" w:w="15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二档B</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三秦网</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30</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全年专题报道不少于5篇；全年不少于360篇稿件</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c>
                <w:tcPr>
                  <w:tcW w:type="dxa" w:w="15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二档B</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海报新闻</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全年稿件不低于1080篇，专题报道不少于5篇；；</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w:t>
                  </w:r>
                </w:p>
              </w:tc>
              <w:tc>
                <w:tcPr>
                  <w:tcW w:type="dxa" w:w="15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二档B</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华商网</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75</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全年稿件发布量不少于900条</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二档B</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二三里</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全年稿件发布量不少于1000条</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17</w:t>
                  </w:r>
                </w:p>
              </w:tc>
              <w:tc>
                <w:tcPr>
                  <w:tcW w:type="dxa" w:w="15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二档B</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西西新闻</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85</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全年稿件发布量不少于1000条</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w:t>
                  </w:r>
                </w:p>
              </w:tc>
              <w:tc>
                <w:tcPr>
                  <w:tcW w:type="dxa" w:w="1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新闻网站</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三档</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知乎城市陕西</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全年稿件发布量不少于1200条,话题题报道不少于12篇</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w:t>
                  </w:r>
                </w:p>
              </w:tc>
              <w:tc>
                <w:tcPr>
                  <w:tcW w:type="dxa" w:w="15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三档</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腾讯大秦网</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130</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全年稿件发布量不少于1500条</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w:t>
                  </w:r>
                </w:p>
              </w:tc>
              <w:tc>
                <w:tcPr>
                  <w:tcW w:type="dxa" w:w="15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三档</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凤凰网</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120</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全年稿件发布量不少于1400条</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21</w:t>
                  </w:r>
                </w:p>
              </w:tc>
              <w:tc>
                <w:tcPr>
                  <w:tcW w:type="dxa" w:w="15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三档</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搜狐陕西</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全年稿件发布量不少于1400条</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22</w:t>
                  </w:r>
                </w:p>
              </w:tc>
              <w:tc>
                <w:tcPr>
                  <w:tcW w:type="dxa" w:w="151"/>
                  <w:vMerge/>
                  <w:tcBorders>
                    <w:top w:val="non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三档</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网易陕西</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100</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全年稿件发布量不少于1000条，专题搭建全年12个</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西安经开区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服务结束，经采购人验收后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成交供应商在领取中标通知书时提供纸质响应文件两份，纸质版文件须是电子化交易平台系统生成的响应文件。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2023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2023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供应商承诺.docx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明显低于其他通过符合性供应商的报价，有可能影响产品质量或者不能诚信履约的，磋商小组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说明和证明材料，应当加盖供应商（法定名称）电子印章，在磋商小组要求的时间内通过项目电子化交易系统进行提交，否则提交的相关证明材料无效。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磋商响应文件加盖供应商单位公章或签字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响应文件中技术、服务内容达不到采购要求，出现重大负偏差，降低了服务要求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1、对项目背景以及项目工作目标的总体理解与认识，认识准确，理解到位，按其响应程度计0～5分。 2、提供年度网络宣传矩阵建设整体方案，按其响应程度计0～5分。 3、提供项目实施保障服务方案，能有序、安全、及时、高效满足项目需求，按其响应程度计0～5分。 4、提供项目服务质量控制和风险管理相关内容，满足项目需求，按其响应程度计0～5分。 5、针对采购人的服务要求，制定规范的工作流程和进度计划，科学合理、切实可行，按其响应程度计0～5分。 6、针对本项目要求，制定合理高效的宣传排期，时间安排合理，服务时限满足采购人需求，按其响应程度计0～5分。 7、供应商针对本项目信息安全，有完整的服务保障体系，体系完整、可行，方案思路清晰、科学合理，按其响应程度计0～5分。 8、针对本项目实施过程突发和临时事件的预计、处理，制定应急预案，应急预案应完善具体、内容详尽、描述清晰，根据响应程度计0～5分。 9、针对本项目实施过程中存在的难点、重点分析透彻、有预期效果，以及达到预期效果的解决措施，并提供相应处理方案，方案合理全面、可行性强，根据响应程度计0～5分。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1、提供完善的管理组织架构，架构科学合理、切实可行，完全满足采购人需求，按其响应程度计0～5分。 2、供应商制定完善的人员管理办法、考核办法等内容，管理规章制度齐全、合理、切实可行，按其响应程度计0～5分。 3、针对采购人的采购需求，提供项目实施的保障措施，按其响应程度计0～5分。 4、提供健全的团队组织架构，人员数量配备充足，岗位分工合理、明确且熟悉相关工作内容，能满足服务要求，按其响应程度计0～5分。 5、根据拟派小组成员的配置情况及项目负责人和小组成员学历、职称、主要工作业绩等证明材料，按其响应程度计0～5分。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1、供应商针对本项目及采购人实际需求提供优质的服务承诺，按其响应程度得0～5分。 2、供应商针对本项目有良好、积极的工作态度，能够在项目服务过程中及时配合采购人的工作需求，提供相应承诺，按其响应程度得0～5分。 3、提出有利于采购人降低成本及提高服务质量且切实可行措施承诺。按其响应程度计0～5分。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供应商提供2022年1月1日至今同类项目业绩，业绩以合同或中标（成交）通知书为依据，响应文件中附有其证明资料，每提供一个业绩证明计1分，满分5分。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详见附件：响应报价明细表.docx</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