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CB9D">
      <w:pPr>
        <w:keepNext/>
        <w:numPr>
          <w:ilvl w:val="0"/>
          <w:numId w:val="1"/>
        </w:numPr>
        <w:spacing w:before="210" w:beforeLines="50" w:after="210" w:afterLines="50" w:line="360" w:lineRule="auto"/>
        <w:jc w:val="center"/>
        <w:outlineLvl w:val="0"/>
        <w:rPr>
          <w:rFonts w:hint="eastAsia" w:ascii="宋体" w:hAnsi="宋体" w:eastAsia="宋体" w:cs="宋体"/>
          <w:bCs/>
          <w:kern w:val="36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36"/>
          <w:sz w:val="32"/>
          <w:szCs w:val="32"/>
          <w:lang w:val="en-US" w:eastAsia="zh-CN" w:bidi="ar-SA"/>
        </w:rPr>
        <w:t>合同文本</w:t>
      </w:r>
    </w:p>
    <w:p w14:paraId="1E3BB4CC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采购人（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u w:val="single"/>
        </w:rPr>
        <w:t xml:space="preserve">                      </w:t>
      </w:r>
    </w:p>
    <w:p w14:paraId="691A8566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u w:val="single"/>
        </w:rPr>
        <w:t xml:space="preserve">                                  </w:t>
      </w:r>
    </w:p>
    <w:p w14:paraId="344826B0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根据《中华人民共和国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5EBCA156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一、项目概况</w:t>
      </w:r>
    </w:p>
    <w:p w14:paraId="6557AFB9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60" w:leftChars="200" w:hanging="240" w:hangingChars="1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；</w:t>
      </w:r>
    </w:p>
    <w:p w14:paraId="5B4D6CD3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60" w:leftChars="200" w:hanging="240" w:hangingChars="1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。</w:t>
      </w:r>
    </w:p>
    <w:p w14:paraId="5653C666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二、组成本合同的文件</w:t>
      </w:r>
    </w:p>
    <w:p w14:paraId="4BAE568B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1.协议书；</w:t>
      </w:r>
    </w:p>
    <w:p w14:paraId="12D8DC90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通知书、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文件、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文件、澄清、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补充文件；</w:t>
      </w:r>
    </w:p>
    <w:p w14:paraId="5E9738C8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.附录，即：附表内相关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货物及服务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的范围和内容；</w:t>
      </w:r>
    </w:p>
    <w:p w14:paraId="22DE979E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本合同签订后，双方依法签订的补充协议也是本合同文件的组成部分。</w:t>
      </w:r>
    </w:p>
    <w:p w14:paraId="6BB36648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三、合同金额</w:t>
      </w:r>
    </w:p>
    <w:p w14:paraId="19EC88EC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（¥        ）。</w:t>
      </w:r>
    </w:p>
    <w:p w14:paraId="3064725B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合同总价即中标价，为一次性报价，不受市场价变化或实际工作量变化的影响。合同价格为含税价，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提供产品所发生的一切税（包括增值税）费等都已包含于合同价款中。</w:t>
      </w:r>
    </w:p>
    <w:p w14:paraId="0FE2EF60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四、结算方式</w:t>
      </w:r>
    </w:p>
    <w:p w14:paraId="5CC8F64D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1.结算单位：采购人结算，在付款前必须开具等额发票给采购人。</w:t>
      </w:r>
    </w:p>
    <w:p w14:paraId="1AD3FC67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2.结算方式：设备到货验收完成支付40%的合同款；设备安装调试完毕后，试运行、检测、仪器质量检查等最终验收合格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并出具检测报告后支付60%的合同款。</w:t>
      </w:r>
    </w:p>
    <w:p w14:paraId="6F2A682A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供货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期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/>
        </w:rPr>
        <w:t>自合同签订之日起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/>
        </w:rPr>
        <w:t xml:space="preserve"> 个日历日内完成供货及安装。</w:t>
      </w:r>
    </w:p>
    <w:p w14:paraId="2D4A89A2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六、质保期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/>
        </w:rPr>
        <w:t>设备自验收合格之日起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/>
        </w:rPr>
        <w:t>年免费质保。</w:t>
      </w:r>
    </w:p>
    <w:p w14:paraId="43FC2857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七、内容及要求</w:t>
      </w:r>
    </w:p>
    <w:p w14:paraId="5E85D603">
      <w:pP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br w:type="page"/>
      </w:r>
    </w:p>
    <w:p w14:paraId="79110939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供货内容一览表</w:t>
      </w:r>
    </w:p>
    <w:tbl>
      <w:tblPr>
        <w:tblStyle w:val="2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960"/>
        <w:gridCol w:w="1955"/>
        <w:gridCol w:w="1225"/>
        <w:gridCol w:w="825"/>
        <w:gridCol w:w="735"/>
        <w:gridCol w:w="1050"/>
        <w:gridCol w:w="1215"/>
        <w:gridCol w:w="903"/>
      </w:tblGrid>
      <w:tr w14:paraId="25CBC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center"/>
          </w:tcPr>
          <w:p w14:paraId="31A9E79D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60" w:type="dxa"/>
            <w:noWrap w:val="0"/>
            <w:vAlign w:val="center"/>
          </w:tcPr>
          <w:p w14:paraId="2BF0A8FC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1955" w:type="dxa"/>
            <w:tcBorders>
              <w:right w:val="single" w:color="auto" w:sz="4" w:space="0"/>
            </w:tcBorders>
            <w:noWrap w:val="0"/>
            <w:vAlign w:val="center"/>
          </w:tcPr>
          <w:p w14:paraId="48FA9F25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品牌、规格及型号</w:t>
            </w:r>
          </w:p>
        </w:tc>
        <w:tc>
          <w:tcPr>
            <w:tcW w:w="1225" w:type="dxa"/>
            <w:tcBorders>
              <w:left w:val="single" w:color="auto" w:sz="4" w:space="0"/>
            </w:tcBorders>
            <w:noWrap w:val="0"/>
            <w:vAlign w:val="center"/>
          </w:tcPr>
          <w:p w14:paraId="155BE42E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原产地及 制造厂名</w:t>
            </w: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center"/>
          </w:tcPr>
          <w:p w14:paraId="73B9C7E6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57BA4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center"/>
          </w:tcPr>
          <w:p w14:paraId="108ACFF8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交付地点</w:t>
            </w: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center"/>
          </w:tcPr>
          <w:p w14:paraId="1BB79CDE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交付时间</w:t>
            </w: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center"/>
          </w:tcPr>
          <w:p w14:paraId="7A594599">
            <w:pPr>
              <w:keepNext/>
              <w:keepLines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63B6E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1BF668E1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 w14:paraId="1402C0E2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noWrap w:val="0"/>
            <w:vAlign w:val="top"/>
          </w:tcPr>
          <w:p w14:paraId="39152502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tcBorders>
              <w:left w:val="single" w:color="auto" w:sz="4" w:space="0"/>
            </w:tcBorders>
            <w:noWrap w:val="0"/>
            <w:vAlign w:val="top"/>
          </w:tcPr>
          <w:p w14:paraId="1DE2D9DB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40F71217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FAAE0A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0CC01ECF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1C085C9B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27336B43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 w14:paraId="75B40D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45D771BF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 w14:paraId="1A7D273E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noWrap w:val="0"/>
            <w:vAlign w:val="top"/>
          </w:tcPr>
          <w:p w14:paraId="7009E38E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tcBorders>
              <w:left w:val="single" w:color="auto" w:sz="4" w:space="0"/>
            </w:tcBorders>
            <w:noWrap w:val="0"/>
            <w:vAlign w:val="top"/>
          </w:tcPr>
          <w:p w14:paraId="0091E614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0B4BA1B0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94FA9D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7CB06892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06F576FE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6EC78805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 w14:paraId="7E995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6CEA6AD9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 w14:paraId="7F70F352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noWrap w:val="0"/>
            <w:vAlign w:val="top"/>
          </w:tcPr>
          <w:p w14:paraId="26DD18B1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tcBorders>
              <w:left w:val="single" w:color="auto" w:sz="4" w:space="0"/>
            </w:tcBorders>
            <w:noWrap w:val="0"/>
            <w:vAlign w:val="top"/>
          </w:tcPr>
          <w:p w14:paraId="4D02FF80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2F4EA708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04BB5F2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77C3AC10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24E93C50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638BFB51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 w14:paraId="64F48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noWrap w:val="0"/>
            <w:vAlign w:val="top"/>
          </w:tcPr>
          <w:p w14:paraId="45C8451A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 w14:paraId="50A1A547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noWrap w:val="0"/>
            <w:vAlign w:val="top"/>
          </w:tcPr>
          <w:p w14:paraId="15C6BCCB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tcBorders>
              <w:left w:val="single" w:color="auto" w:sz="4" w:space="0"/>
            </w:tcBorders>
            <w:noWrap w:val="0"/>
            <w:vAlign w:val="top"/>
          </w:tcPr>
          <w:p w14:paraId="76EF533F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right w:val="single" w:color="auto" w:sz="4" w:space="0"/>
            </w:tcBorders>
            <w:noWrap w:val="0"/>
            <w:vAlign w:val="top"/>
          </w:tcPr>
          <w:p w14:paraId="17B7AB80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F8FEA0A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tcBorders>
              <w:left w:val="single" w:color="auto" w:sz="4" w:space="0"/>
            </w:tcBorders>
            <w:noWrap w:val="0"/>
            <w:vAlign w:val="top"/>
          </w:tcPr>
          <w:p w14:paraId="003EA9C6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tcBorders>
              <w:right w:val="single" w:color="auto" w:sz="4" w:space="0"/>
            </w:tcBorders>
            <w:noWrap w:val="0"/>
            <w:vAlign w:val="top"/>
          </w:tcPr>
          <w:p w14:paraId="30A761FD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903" w:type="dxa"/>
            <w:tcBorders>
              <w:right w:val="single" w:color="auto" w:sz="4" w:space="0"/>
            </w:tcBorders>
            <w:noWrap w:val="0"/>
            <w:vAlign w:val="top"/>
          </w:tcPr>
          <w:p w14:paraId="278D514F">
            <w:pPr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430E025A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 xml:space="preserve">八、运输、安装、调试要求 </w:t>
      </w:r>
    </w:p>
    <w:p w14:paraId="66FAD9BB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1.运输方式由乙方及制造厂商自行选择，运输和装卸等风险由乙方承担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。</w:t>
      </w:r>
    </w:p>
    <w:p w14:paraId="14F1BC37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自合同签订之日起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none"/>
          <w:lang w:val="en-US" w:eastAsia="zh-CN"/>
        </w:rPr>
        <w:t>个日历日内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，交货安装，验收合格，并交付使用。</w:t>
      </w:r>
    </w:p>
    <w:p w14:paraId="6BA912C3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3.乙方向甲方交货时应移交每套设备的全套档案资料（包括产品合格证、使用说明书、保修卡、技术资料等），并为用户免费指导和培训设备的操作与维护。</w:t>
      </w:r>
    </w:p>
    <w:p w14:paraId="25CB76FE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4.乙方应积极保持与甲方、最终用户及原厂商的良好沟通，保证合同的正常履行，并承担合同义务的履行责任。</w:t>
      </w:r>
    </w:p>
    <w:p w14:paraId="26030F27">
      <w:pPr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九、质保及维保服务</w:t>
      </w:r>
    </w:p>
    <w:p w14:paraId="143363F5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1.乙方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应提供可承担维修职能的公司、全资分公司或办事处，并驻守稳定的技术服务小组，提供长期良好的售后服务，随时解答各种疑问，确保本设备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正常运行，（提供人员名单、职务、联系电话等）。</w:t>
      </w:r>
    </w:p>
    <w:p w14:paraId="362A5539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服务方式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现场服务及远程服务。</w:t>
      </w:r>
    </w:p>
    <w:p w14:paraId="0C07445C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对于存在质量缺陷问题或者短少的设备，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应在接到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的通知2个日历日内负责更换或补齐，否则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有权予以处罚，不及时进行缺陷处理的甲方有权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终止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合同，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须无条件退回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所付全部款项，并可向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进行索赔，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对已交付安装产品的损耗无须承担任何责任和赔偿。</w:t>
      </w:r>
    </w:p>
    <w:p w14:paraId="3753CF94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质量保修期内，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应按照有关管理规定及双方约定承担质量保修责任。</w:t>
      </w:r>
    </w:p>
    <w:p w14:paraId="44254AE2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在设备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产品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最终验收后的质量保证期内，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应对设计、工艺或材料的缺陷而产生的故障负责（负责解决并承担全部费用）。质保期满后如出现此类问题亦应负责。</w:t>
      </w:r>
    </w:p>
    <w:p w14:paraId="0BBD2EBE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6.提供全年7×24小时的技术咨询服务，设备（产品）出现故障时，30分钟内电话响应，1小时内电话解决问题，未解决4小时内到达故障现场解决问题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。</w:t>
      </w:r>
    </w:p>
    <w:p w14:paraId="68896ECB">
      <w:pPr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十、质量保证及技术培训</w:t>
      </w:r>
    </w:p>
    <w:p w14:paraId="388DA578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1.乙方提供的设备（产品）及材料必须保证质量可靠，为市场最新或主流设备（产品），进货渠道正常，配置合理齐全，应全面满足招标文件的要求，招标文件未明确要求的内容，须按招标设备（产品）主流标准配置或以甲方的补充要求为准。所供设备（产品）工艺质量应严格按国家最新发布的规范标准执行，如发生质量问题由乙方承担全部责任。</w:t>
      </w:r>
    </w:p>
    <w:p w14:paraId="23DA2E43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2.乙方承诺提供系统现场培训。乙方应保证提供一到两名资深的培训教师，培训计划应注明每次培训课程的时间、地点及课时；每次课程的内容和目的；提供每次课程的文件和资料；</w:t>
      </w:r>
    </w:p>
    <w:p w14:paraId="3390E37A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3.培训内容包括系统产品使用培训和高级技术培训。</w:t>
      </w:r>
    </w:p>
    <w:p w14:paraId="5830C10D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4.产品培训至少包括产品介绍、安装调测、操作及维护方法、系统配置和升级等方面；高级技术培训是指系统分析设计中的思想和方法。乙方承诺接受培训的人员在培训后能够独立地对系统进行操作使用、管理、维护。</w:t>
      </w:r>
    </w:p>
    <w:p w14:paraId="024A8B3C">
      <w:pPr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5.现场集中培训产生的所有费用由乙方承担。</w:t>
      </w:r>
    </w:p>
    <w:p w14:paraId="124F647F">
      <w:pPr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验收</w:t>
      </w:r>
    </w:p>
    <w:p w14:paraId="226CD3C7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共同组织验收，验货合同的标的物方可进行安装、调试。通过验收的应填写政府采购项目验收报告单，并交接全部项目资料。</w:t>
      </w:r>
    </w:p>
    <w:p w14:paraId="04F1937F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验收时，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有权对标的物按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技术参数逐项进行技术验证测试，测试通过作为验收合格的必要条件，验收不通过，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有权拒绝接收货物，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有权对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进行处罚，并终止合同，已支付款项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须全额退还，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并可向供应商进行索赔。</w:t>
      </w:r>
    </w:p>
    <w:p w14:paraId="5E62FA7A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、保密</w:t>
      </w:r>
    </w:p>
    <w:p w14:paraId="0477E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对工作中了解到的甲方的技术、机密文件等进行严格保密，不得向他人泄漏。本合同的解除或终止不免除乙方应承担的保密义务。</w:t>
      </w:r>
    </w:p>
    <w:p w14:paraId="3CDC3BC2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、知识产权</w:t>
      </w:r>
    </w:p>
    <w:p w14:paraId="113B1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应对所供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设备（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产品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具有或已取得合法知识产权，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应保证所供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设备（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产品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及服务不会出现因第三方提出侵犯其专利权、商标权或其它知识产权而引发法律或经济纠纷，否则由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负责解决并承担全部责任；如因此影响到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的正常使用，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有权单方解除本合同，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应无条件向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退回已收取的全部合同价款，给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造成损失的，由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一并赔偿。</w:t>
      </w:r>
    </w:p>
    <w:p w14:paraId="77AAA7B8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、合同争议的解决</w:t>
      </w:r>
    </w:p>
    <w:p w14:paraId="34762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合同执行中发生争议的，当事人双方应协商解决。协商达不成一致时，可向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当地行政仲裁机关申请仲裁或者向人民法院提请诉讼。</w:t>
      </w:r>
    </w:p>
    <w:p w14:paraId="2B2A0211">
      <w:pPr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/>
        </w:rPr>
        <w:t>十四、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  <w:t>不可抗力情况下的免责约定</w:t>
      </w:r>
    </w:p>
    <w:p w14:paraId="36A4C3BC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方约定不可抗力情况指：双方不可预见、不可避免、不可克服的客观情况，但不包括双方的违约或疏忽。这些事件包括但不限于：战争、严重火灾、洪水、台风、地震等。</w:t>
      </w:r>
    </w:p>
    <w:p w14:paraId="6ECAE51F">
      <w:pPr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十五、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违约责任</w:t>
      </w:r>
    </w:p>
    <w:p w14:paraId="61FDC45A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未全面履行合同义务或者发生违约，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会同采购代理机构有权终止合同，依法向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进行经济索赔，并报请政府采购监督管理机关进行相应的行政处罚。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违约的，应当赔偿给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造成的经济损失。</w:t>
      </w:r>
    </w:p>
    <w:p w14:paraId="338F039C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、其他（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在合同中具体明确）</w:t>
      </w:r>
    </w:p>
    <w:p w14:paraId="73559CDA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/>
        </w:rPr>
        <w:t>十七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、合同订立</w:t>
      </w:r>
    </w:p>
    <w:p w14:paraId="46586004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日。</w:t>
      </w:r>
    </w:p>
    <w:p w14:paraId="12F0E931">
      <w:pPr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。</w:t>
      </w:r>
    </w:p>
    <w:p w14:paraId="5AE5871B">
      <w:pPr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份，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双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方签字盖章后生效，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未尽事宜，双方协商解决。</w:t>
      </w:r>
    </w:p>
    <w:p w14:paraId="1CDAA0FB">
      <w:pPr>
        <w:widowControl/>
        <w:snapToGrid w:val="0"/>
        <w:spacing w:line="460" w:lineRule="exact"/>
        <w:ind w:left="479" w:leftChars="228"/>
        <w:jc w:val="both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6F53A94C">
      <w:pPr>
        <w:widowControl/>
        <w:spacing w:line="360" w:lineRule="auto"/>
        <w:ind w:firstLine="567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2E2F3DF1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（以下无正文）</w:t>
      </w:r>
    </w:p>
    <w:p w14:paraId="19CF484E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</w:rPr>
      </w:pPr>
    </w:p>
    <w:p w14:paraId="57194501">
      <w:pPr>
        <w:rPr>
          <w:rFonts w:hint="eastAsia" w:ascii="宋体" w:hAnsi="宋体" w:eastAsia="宋体" w:cs="宋体"/>
          <w:b/>
          <w:kern w:val="2"/>
          <w:sz w:val="21"/>
          <w:szCs w:val="24"/>
          <w:lang w:val="en-US" w:eastAsia="zh-CN" w:bidi="ar-SA"/>
        </w:rPr>
      </w:pPr>
    </w:p>
    <w:p w14:paraId="58A88308">
      <w:pPr>
        <w:rPr>
          <w:rFonts w:hint="eastAsia" w:ascii="宋体" w:hAnsi="宋体" w:eastAsia="宋体" w:cs="宋体"/>
          <w:b/>
          <w:kern w:val="2"/>
          <w:sz w:val="21"/>
          <w:szCs w:val="2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110"/>
        <w:gridCol w:w="2151"/>
        <w:gridCol w:w="2110"/>
      </w:tblGrid>
      <w:tr w14:paraId="12224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2F5C54D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甲方（盖章）：</w:t>
            </w:r>
          </w:p>
        </w:tc>
        <w:tc>
          <w:tcPr>
            <w:tcW w:w="2265" w:type="dxa"/>
          </w:tcPr>
          <w:p w14:paraId="68BBF04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69154AB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乙方（盖章）：</w:t>
            </w:r>
          </w:p>
        </w:tc>
        <w:tc>
          <w:tcPr>
            <w:tcW w:w="2265" w:type="dxa"/>
          </w:tcPr>
          <w:p w14:paraId="3BFDEB1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FE9F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218AB68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法定代表人（委托代理人）：</w:t>
            </w:r>
          </w:p>
        </w:tc>
        <w:tc>
          <w:tcPr>
            <w:tcW w:w="2265" w:type="dxa"/>
          </w:tcPr>
          <w:p w14:paraId="687A267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0C10182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法定代表人（委托代理人）：</w:t>
            </w:r>
          </w:p>
        </w:tc>
        <w:tc>
          <w:tcPr>
            <w:tcW w:w="2265" w:type="dxa"/>
          </w:tcPr>
          <w:p w14:paraId="79D380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09F3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3214F09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地　　址：</w:t>
            </w:r>
          </w:p>
        </w:tc>
        <w:tc>
          <w:tcPr>
            <w:tcW w:w="2265" w:type="dxa"/>
          </w:tcPr>
          <w:p w14:paraId="75072B3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05502FC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地　　址：</w:t>
            </w:r>
          </w:p>
        </w:tc>
        <w:tc>
          <w:tcPr>
            <w:tcW w:w="2265" w:type="dxa"/>
          </w:tcPr>
          <w:p w14:paraId="1DC7CCF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BDEE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7FD9766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开户银行：</w:t>
            </w:r>
          </w:p>
        </w:tc>
        <w:tc>
          <w:tcPr>
            <w:tcW w:w="2265" w:type="dxa"/>
          </w:tcPr>
          <w:p w14:paraId="7EB2F02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17AA6CF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开户银行：</w:t>
            </w:r>
          </w:p>
        </w:tc>
        <w:tc>
          <w:tcPr>
            <w:tcW w:w="2265" w:type="dxa"/>
          </w:tcPr>
          <w:p w14:paraId="4DC32AD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F08C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0770B72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银行帐号：</w:t>
            </w:r>
          </w:p>
        </w:tc>
        <w:tc>
          <w:tcPr>
            <w:tcW w:w="2265" w:type="dxa"/>
          </w:tcPr>
          <w:p w14:paraId="5D159DA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733E0A9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银行帐号：</w:t>
            </w:r>
          </w:p>
        </w:tc>
        <w:tc>
          <w:tcPr>
            <w:tcW w:w="2265" w:type="dxa"/>
          </w:tcPr>
          <w:p w14:paraId="603961F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DE6E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316BF62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电　　话：</w:t>
            </w:r>
          </w:p>
        </w:tc>
        <w:tc>
          <w:tcPr>
            <w:tcW w:w="2265" w:type="dxa"/>
          </w:tcPr>
          <w:p w14:paraId="7FD06F6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799FE78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电　　话：</w:t>
            </w:r>
          </w:p>
        </w:tc>
        <w:tc>
          <w:tcPr>
            <w:tcW w:w="2265" w:type="dxa"/>
          </w:tcPr>
          <w:p w14:paraId="1C78F53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8E97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7058A6C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　　真：</w:t>
            </w:r>
          </w:p>
        </w:tc>
        <w:tc>
          <w:tcPr>
            <w:tcW w:w="2265" w:type="dxa"/>
          </w:tcPr>
          <w:p w14:paraId="418849A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265" w:type="dxa"/>
          </w:tcPr>
          <w:p w14:paraId="34BAAA8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　　真：</w:t>
            </w:r>
          </w:p>
        </w:tc>
        <w:tc>
          <w:tcPr>
            <w:tcW w:w="2265" w:type="dxa"/>
          </w:tcPr>
          <w:p w14:paraId="642289B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E862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</w:tcPr>
          <w:p w14:paraId="6DF6A76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签约日期：</w:t>
            </w:r>
          </w:p>
        </w:tc>
        <w:tc>
          <w:tcPr>
            <w:tcW w:w="2265" w:type="dxa"/>
          </w:tcPr>
          <w:p w14:paraId="6AA70B5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日</w:t>
            </w:r>
          </w:p>
        </w:tc>
        <w:tc>
          <w:tcPr>
            <w:tcW w:w="2265" w:type="dxa"/>
          </w:tcPr>
          <w:p w14:paraId="6B49E5D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签约日期：</w:t>
            </w:r>
          </w:p>
        </w:tc>
        <w:tc>
          <w:tcPr>
            <w:tcW w:w="2265" w:type="dxa"/>
          </w:tcPr>
          <w:p w14:paraId="4A0C9BA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日</w:t>
            </w:r>
          </w:p>
        </w:tc>
      </w:tr>
    </w:tbl>
    <w:p w14:paraId="23A49D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05484684"/>
    <w:rsid w:val="05484684"/>
    <w:rsid w:val="22EC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5</Pages>
  <Words>2415</Words>
  <Characters>2448</Characters>
  <Lines>0</Lines>
  <Paragraphs>0</Paragraphs>
  <TotalTime>0</TotalTime>
  <ScaleCrop>false</ScaleCrop>
  <LinksUpToDate>false</LinksUpToDate>
  <CharactersWithSpaces>2750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2024-08-26T07:26:00Z</dcterms:created>
  <dc:creator>熊掌孙</dc:creator>
  <cp:lastModifiedBy>熊掌孙</cp:lastModifiedBy>
  <dcterms:modified xsi:type="dcterms:W3CDTF">2025-10-20T08:27:46Z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879DF0C8682C4BFBB624EC935370596F_11</vt:lpwstr>
  </property>
  <property fmtid="{D5CDD505-2E9C-101B-9397-08002B2CF9AE}" pid="4" name="KSOTemplateDocerSaveRecord">
    <vt:lpwstr>eyJoZGlkIjoiZGI0ZGIzYmI2OWViZTMxZTU3NzUxZjAzNDk3YTI1NDQiLCJ1c2VySWQiOiIzMTA4NTYyNDIifQ==</vt:lpwstr>
  </property>
</Properties>
</file>