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版本号：SXXP-2025-02320251029001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经开区城市运动公园健身步道项目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SXXP-2025-023</w:t>
      </w:r>
      <w:r>
        <w:br/>
      </w:r>
      <w:r>
        <w:br/>
      </w:r>
      <w:r>
        <w:br/>
      </w:r>
    </w:p>
    <w:p>
      <w:pPr>
        <w:pStyle w:val="null3"/>
        <w:jc w:val="center"/>
        <w:outlineLvl w:val="2"/>
      </w:pPr>
      <w:r>
        <w:rPr>
          <w:rFonts w:ascii="仿宋_GB2312" w:hAnsi="仿宋_GB2312" w:cs="仿宋_GB2312" w:eastAsia="仿宋_GB2312"/>
          <w:sz w:val="28"/>
          <w:b/>
        </w:rPr>
        <w:t>西安经济技术开发区教育体育局</w:t>
      </w:r>
    </w:p>
    <w:p>
      <w:pPr>
        <w:pStyle w:val="null3"/>
        <w:jc w:val="center"/>
        <w:outlineLvl w:val="2"/>
      </w:pPr>
      <w:r>
        <w:rPr>
          <w:rFonts w:ascii="仿宋_GB2312" w:hAnsi="仿宋_GB2312" w:cs="仿宋_GB2312" w:eastAsia="仿宋_GB2312"/>
          <w:sz w:val="28"/>
          <w:b/>
        </w:rPr>
        <w:t>陕西信鹏项目管理有限公司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陕西信鹏项目管理有限公司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西安经济技术开发区教育体育局</w:t>
      </w:r>
      <w:r>
        <w:rPr>
          <w:rFonts w:ascii="仿宋_GB2312" w:hAnsi="仿宋_GB2312" w:cs="仿宋_GB2312" w:eastAsia="仿宋_GB2312"/>
        </w:rPr>
        <w:t>委托，拟对</w:t>
      </w:r>
      <w:r>
        <w:rPr>
          <w:rFonts w:ascii="仿宋_GB2312" w:hAnsi="仿宋_GB2312" w:cs="仿宋_GB2312" w:eastAsia="仿宋_GB2312"/>
        </w:rPr>
        <w:t>经开区城市运动公园健身步道项目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SXXP-2025-023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经开区城市运动公园健身步道项目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西安经济技术开发区教育体育局经开区城市运动公园健身步道项目，包括原塑胶地面拆除、新塑胶地面铺设以及地面标识标线施划等内容。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采购包1（经开区城市运动公园健身步道项目）：属于专门面向中小企业采购。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2、企业资质：供应商须具备建筑工程施工总承包三级及以上资质或市政公用工程总承包三级及以上资质，并具有合法有效的安全生产许可证。</w:t>
      </w:r>
    </w:p>
    <w:p>
      <w:pPr>
        <w:pStyle w:val="null3"/>
      </w:pPr>
      <w:r>
        <w:rPr>
          <w:rFonts w:ascii="仿宋_GB2312" w:hAnsi="仿宋_GB2312" w:cs="仿宋_GB2312" w:eastAsia="仿宋_GB2312"/>
        </w:rPr>
        <w:t>3、身份授权：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4、拟派项目负责人资质和专业要求：拟派项目经理须具备建筑工程专业二级及以上或市政公用工程专业二级及以上注册建造师资格，具备有效的安全生产考核合格证书（建安B证），且未担任其他在建工程项目的项目经理。</w:t>
      </w:r>
    </w:p>
    <w:p>
      <w:pPr>
        <w:pStyle w:val="null3"/>
      </w:pPr>
      <w:r>
        <w:rPr>
          <w:rFonts w:ascii="仿宋_GB2312" w:hAnsi="仿宋_GB2312" w:cs="仿宋_GB2312" w:eastAsia="仿宋_GB2312"/>
        </w:rPr>
        <w:t>5、财务状况报告：提供2024年经审计的财务报告或开标前三个月内开户银行开具的资信证明。</w:t>
      </w:r>
    </w:p>
    <w:p>
      <w:pPr>
        <w:pStyle w:val="null3"/>
      </w:pPr>
      <w:r>
        <w:rPr>
          <w:rFonts w:ascii="仿宋_GB2312" w:hAnsi="仿宋_GB2312" w:cs="仿宋_GB2312" w:eastAsia="仿宋_GB2312"/>
        </w:rPr>
        <w:t>6、税收缴纳证明：提供2025年04月至今已缴纳的至少一个月的纳税证明或完税证明（任意税种），依法免税的单位应提供相关证明材料。</w:t>
      </w:r>
    </w:p>
    <w:p>
      <w:pPr>
        <w:pStyle w:val="null3"/>
      </w:pPr>
      <w:r>
        <w:rPr>
          <w:rFonts w:ascii="仿宋_GB2312" w:hAnsi="仿宋_GB2312" w:cs="仿宋_GB2312" w:eastAsia="仿宋_GB2312"/>
        </w:rPr>
        <w:t>7、社会保障资金缴纳证明：提供2025年04月至今已缴存的至少一个月的社会保障资金缴存单据或社保机构开具的社会保险参保缴费情况证明，依法不需要缴纳社会保障资金的单位应提供相关证明材料。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8、信用：参加本次政府采购活动前3年内在经营活动中没有重大违纪，以及未被列入失信被执行人、重大税收违法失信主体、政府采购严重违法失信行为记录名单的书面声明。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9、履行本合同所必需的设备和专业技术能力的声明：履行本合同所必需的设备和专业技术能力的声明：提供具有履行本合同所必需的设备和专业技术能力的声明。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10、关联关系：供应商单位负责人不得为同一人或者存在控股、管理关系。</w:t>
      </w:r>
    </w:p>
    <w:p>
      <w:pPr>
        <w:pStyle w:val="null3"/>
      </w:pPr>
      <w:r>
        <w:rPr>
          <w:rFonts w:ascii="仿宋_GB2312" w:hAnsi="仿宋_GB2312" w:cs="仿宋_GB2312" w:eastAsia="仿宋_GB2312"/>
        </w:rPr>
        <w:t>11、中小企业声明函：本项目为专门面向中小企业项目，供应商须为中型企业或者小型、微型企业或监狱企业或残疾人福利性单位。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西安经济技术开发区凤城十二路与明光路凯瑞F座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029-86516508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陕西信鹏项目管理有限公司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西安市经济技术开发区凤城十二路凯瑞B座1单元9层A0906号房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孙媛春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029-86688218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采购包1：2,134,067.77元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文件、发改价格[2011]534号文件及国家发改委印发的《关于进一步放开建设项目专业服务价格的通知》[2015]299号文件的收取标准计取；工程造价咨询服务费依据陕价行发[2014]88号。按相关标准计算后，招标代理服务费及工程造价咨询服务费由成交单位在领取成交通知书前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西安经济技术开发区教育体育局</w:t>
      </w:r>
      <w:r>
        <w:rPr>
          <w:rFonts w:ascii="仿宋_GB2312" w:hAnsi="仿宋_GB2312" w:cs="仿宋_GB2312" w:eastAsia="仿宋_GB2312"/>
        </w:rPr>
        <w:t>和</w:t>
      </w:r>
      <w:r>
        <w:rPr>
          <w:rFonts w:ascii="仿宋_GB2312" w:hAnsi="仿宋_GB2312" w:cs="仿宋_GB2312" w:eastAsia="仿宋_GB2312"/>
        </w:rPr>
        <w:t>陕西信鹏项目管理有限公司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陕西信鹏项目管理有限公司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陕西信鹏项目管理有限公司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陕西信鹏项目管理有限公司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陕西信鹏项目管理有限公司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陕西信鹏项目管理有限公司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联系人：孙媛春</w:t>
      </w:r>
    </w:p>
    <w:p>
      <w:pPr>
        <w:pStyle w:val="null3"/>
      </w:pPr>
      <w:r>
        <w:rPr>
          <w:rFonts w:ascii="仿宋_GB2312" w:hAnsi="仿宋_GB2312" w:cs="仿宋_GB2312" w:eastAsia="仿宋_GB2312"/>
        </w:rPr>
        <w:t>联系电话：029-86688218</w:t>
      </w:r>
    </w:p>
    <w:p>
      <w:pPr>
        <w:pStyle w:val="null3"/>
      </w:pPr>
      <w:r>
        <w:rPr>
          <w:rFonts w:ascii="仿宋_GB2312" w:hAnsi="仿宋_GB2312" w:cs="仿宋_GB2312" w:eastAsia="仿宋_GB2312"/>
        </w:rPr>
        <w:t>地址：西安市经济技术开发区凤城十二路凯瑞B座1单元9层A0906号房</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2,134,067.77</w:t>
      </w:r>
    </w:p>
    <w:p>
      <w:pPr>
        <w:pStyle w:val="null3"/>
      </w:pPr>
      <w:r>
        <w:rPr>
          <w:rFonts w:ascii="仿宋_GB2312" w:hAnsi="仿宋_GB2312" w:cs="仿宋_GB2312" w:eastAsia="仿宋_GB2312"/>
        </w:rPr>
        <w:t>采购包最高限价（元）: 2,134,067.77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经开区城市运动公园健身步道项目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2,134,067.77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标的名称：经开区城市运动公园健身步道项目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本项目涉及改造面积为</w:t>
            </w:r>
            <w:r>
              <w:rPr>
                <w:rFonts w:ascii="仿宋_GB2312" w:hAnsi="仿宋_GB2312" w:cs="仿宋_GB2312" w:eastAsia="仿宋_GB2312"/>
                <w:sz w:val="21"/>
              </w:rPr>
              <w:t>8799.75㎡，主要内容包括原塑胶地面拆除、新塑胶地面铺设以及地面标识标线施划等内容。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1、13mm厚透气型塑胶地面： （1）塑胶跑道厚度13mm。 （2）跑道胶水及跑道面胶材料符合GB36246-2018对非固体原料有害物质限量检验要求。 （3）为了保证跑道面层的整体稳定质量，要求跑道面胶材料高聚物含量不得小于40%。 （4）要求跑道面胶材料具有耐黄变性能。经过2500小时的紫外线照射后，耐黄变性能＜3级，且涂膜外观不起泡、不剥落、无裂纹、无粉化现象，符合GB/T39294-2020、GB/T22374-2018标准要求。跑道面层具有耐臭氧老化性能。经800h臭氧老化后，面层无裂纹、无龟裂、无分层现象。 （5）环保EPDM橡胶颗粒按照标准GB 36246-2018（固体原件）检测合格。 （6）环保EPDM橡胶颗粒检测进行耐UV荧光紫外线老化5000h后，外观无明显变色，无粉化、无开裂、无剥落、无起泡、无发黏、无分层的检测结果。邵氏硬度A≥51，拉伸强度MPa≥1.65，拉断伸长率%≥380。 （7）环保EPDM橡胶颗粒生产厂家依据GB 36246-2018检测有害物质苯的释放量为未检出。 （8）为确保耐用性，环保EPDM橡胶颗粒生产厂家提供耐高温70度，500小时老化后灰卡等级≥4级，外观无明显变色，无粉化、开裂、起泡、剥落、发粘等现象。 （9）为保证耐用性，环保EPDM橡胶颗粒含有TMQ、6PPD、o-MBp14等抗老化剂成分。 （10）依据GB/T15251-2008《橡胶游离硫的测定》检测标准，环保EPDM橡胶颗粒的游离硫含量，%≤0.16。 2、定制地面图案：聚氨酯标线专用油漆绘制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投标文件及电子版1份（签字盖章扫描PDF和word文档格式，U盘存储）。2.供应商应自响应文件递交截止时间起至开标结束，保持在线状态。3.工期：合同签订后60日历天。4.质量保修期：验收合格后2年。5.本项目合同计价方式为固定总价合同，供应商的报价应包含完成该项目工作所发生的全部费用以及投标人企业利润、税金和政策性文件规定及合同包含的所有风险、责任等一切费用；供应商必须对所投项目全部内容进行完整报价，并列出明细及价格组成。采购人不接受（将拒绝）只对项目部分内容进行报价的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供应商须具备建筑工程施工总承包三级及以上资质或市政公用工程总承包三级及以上资质，并具有合法有效的安全生产许可证。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身份授权</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拟派项目经理须具备建筑工程专业二级及以上或市政公用工程专业二级及以上注册建造师资格，具备有效的安全生产考核合格证书（建安B证），且未担任其他在建工程项目的项目经理。</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提供2024年经审计的财务报告或开标前三个月内开户银行开具的资信证明。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提供2025年04月至今已缴纳的至少一个月的纳税证明或完税证明（任意税种），依法免税的单位应提供相关证明材料。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履行本合同所必需的设备和专业技术能力的声明</w:t>
            </w:r>
          </w:p>
        </w:tc>
        <w:tc>
          <w:tcPr>
            <w:tcW w:type="dxa" w:w="3322"/>
          </w:tcPr>
          <w:p>
            <w:pPr>
              <w:pStyle w:val="null3"/>
            </w:pPr>
            <w:r>
              <w:rPr>
                <w:rFonts w:ascii="仿宋_GB2312" w:hAnsi="仿宋_GB2312" w:cs="仿宋_GB2312" w:eastAsia="仿宋_GB2312"/>
              </w:rPr>
              <w:t>履行本合同所必需的设备和专业技术能力的声明：提供具有履行本合同所必需的设备和专业技术能力的声明。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供应商单位负责人不得为同一人或者存在控股、管理关系。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 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人员配备合理、分工明确、管理制度完善，赋6分； 人员配备分工较为明确、管理制度较为完善，赋4分； 人员配备分工不明确、管理制度不完善，赋2分；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供应商需提供针对本项目的施工方案，方案各部分内容全面详细、阐述条例清晰详尽，符合本项目采购需求，赋5分； 方案内容基本完善、较为合理、可行性一般，赋3分； 方案没有针对性，不全面，可行性差，赋1分；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措施具有针对性、合理、可行度高，赋5分； 措施基本完善、较为合理、可行性一般，赋3分； 措施没有针对性，不全面，可行性差，赋1分；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确保文明工地的技术组织措施及环境保护</w:t>
            </w:r>
          </w:p>
        </w:tc>
        <w:tc>
          <w:tcPr>
            <w:tcW w:type="dxa" w:w="2492"/>
          </w:tcPr>
          <w:p>
            <w:pPr>
              <w:pStyle w:val="null3"/>
            </w:pPr>
            <w:r>
              <w:rPr>
                <w:rFonts w:ascii="仿宋_GB2312" w:hAnsi="仿宋_GB2312" w:cs="仿宋_GB2312" w:eastAsia="仿宋_GB2312"/>
              </w:rPr>
              <w:t>措施具有针对性、合理、可行度高，赋5分； 措施基本完善、较为合理、可行性一般，赋3分； 措施没有针对性，不全面，可行性差，赋1分；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计划具有针对性、合理、可行度高，赋5分； 计划基本完善、较为合理、可行性一般，赋3分； 计划没有针对性，不全面，可行性差，赋1分；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施工机械设备供应计划表-施工机械设施</w:t>
            </w:r>
          </w:p>
        </w:tc>
        <w:tc>
          <w:tcPr>
            <w:tcW w:type="dxa" w:w="2492"/>
          </w:tcPr>
          <w:p>
            <w:pPr>
              <w:pStyle w:val="null3"/>
            </w:pPr>
            <w:r>
              <w:rPr>
                <w:rFonts w:ascii="仿宋_GB2312" w:hAnsi="仿宋_GB2312" w:cs="仿宋_GB2312" w:eastAsia="仿宋_GB2312"/>
              </w:rPr>
              <w:t>施工机械设施齐全，性能指标及材料投入能够满足项目要求，赋5分； 施工机械设施较为齐全，较能满足项目要求，赋3分； 施工机械设施不齐全，不能满足项目要求，赋1分； 未提供证明材料不得分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施工机械设备供应计划表-主要技术指标</w:t>
            </w:r>
          </w:p>
        </w:tc>
        <w:tc>
          <w:tcPr>
            <w:tcW w:type="dxa" w:w="2492"/>
          </w:tcPr>
          <w:p>
            <w:pPr>
              <w:pStyle w:val="null3"/>
            </w:pPr>
            <w:r>
              <w:rPr>
                <w:rFonts w:ascii="仿宋_GB2312" w:hAnsi="仿宋_GB2312" w:cs="仿宋_GB2312" w:eastAsia="仿宋_GB2312"/>
              </w:rPr>
              <w:t>供应商须提供关于“塑胶跑道”主要技术指标（参数）的相应证明材料（包括但不限于产品检测报告、官网、公告、功能截图等）。 所提供佐证材料足以证明其产品设备参数性能符合采购文件要求的，赋5分； 基本满足采购文件要求的，赋3分； 不能完全满足或佐证材料不全的，赋1分；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确保工程质量保证措施</w:t>
            </w:r>
          </w:p>
        </w:tc>
        <w:tc>
          <w:tcPr>
            <w:tcW w:type="dxa" w:w="2492"/>
          </w:tcPr>
          <w:p>
            <w:pPr>
              <w:pStyle w:val="null3"/>
            </w:pPr>
            <w:r>
              <w:rPr>
                <w:rFonts w:ascii="仿宋_GB2312" w:hAnsi="仿宋_GB2312" w:cs="仿宋_GB2312" w:eastAsia="仿宋_GB2312"/>
              </w:rPr>
              <w:t>措施具有针对性、合理、可行度高，赋5分； 措施基本完善、较为合理、可行性一般，赋3分； 措施没有针对性，不全面，可行性差，赋1分；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计划及措施具有针对性、合理、可行度高，赋5分； 计划及措施基本完善、较为合理、可行性一般，赋3分； 计划及措施没有针对性，不全面，可行性差，赋1分；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措施具有针对性、合理、可行度高，赋5分； 措施基本完善、较为合理、可行性一般，赋3分； 措施没有针对性，不全面，可行性差，赋1分；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垃圾清运的计划</w:t>
            </w:r>
          </w:p>
        </w:tc>
        <w:tc>
          <w:tcPr>
            <w:tcW w:type="dxa" w:w="2492"/>
          </w:tcPr>
          <w:p>
            <w:pPr>
              <w:pStyle w:val="null3"/>
            </w:pPr>
            <w:r>
              <w:rPr>
                <w:rFonts w:ascii="仿宋_GB2312" w:hAnsi="仿宋_GB2312" w:cs="仿宋_GB2312" w:eastAsia="仿宋_GB2312"/>
              </w:rPr>
              <w:t>计划具有针对性、合理、可行度高，赋5分； 计划基本完善、较为合理、可行性一般，赋3分； 计划没有针对性，不全面，可行性差，赋1分；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实质性承诺及合理化建议</w:t>
            </w:r>
          </w:p>
        </w:tc>
        <w:tc>
          <w:tcPr>
            <w:tcW w:type="dxa" w:w="2492"/>
          </w:tcPr>
          <w:p>
            <w:pPr>
              <w:pStyle w:val="null3"/>
            </w:pPr>
            <w:r>
              <w:rPr>
                <w:rFonts w:ascii="仿宋_GB2312" w:hAnsi="仿宋_GB2312" w:cs="仿宋_GB2312" w:eastAsia="仿宋_GB2312"/>
              </w:rPr>
              <w:t>针对本项目实际需求提供实质性承诺及合理化建议： 承诺及合理化建议具有针对性、合理、可行度高，赋5分； 承诺及合理化建议基本完善、较为合理、可行性一般，赋3分； 承诺及合理化建议没有针对性，不全面，可行性差，赋1分；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后续服务条款及措施承诺</w:t>
            </w:r>
          </w:p>
        </w:tc>
        <w:tc>
          <w:tcPr>
            <w:tcW w:type="dxa" w:w="2492"/>
          </w:tcPr>
          <w:p>
            <w:pPr>
              <w:pStyle w:val="null3"/>
            </w:pPr>
            <w:r>
              <w:rPr>
                <w:rFonts w:ascii="仿宋_GB2312" w:hAnsi="仿宋_GB2312" w:cs="仿宋_GB2312" w:eastAsia="仿宋_GB2312"/>
              </w:rPr>
              <w:t>供应商需提供针对本项目完工后的后续服务条款及措施承诺： 后续服务条款及措施承诺具有针对性、完善、可行性强，赋6分； 后续服务条款及措施承诺较为全面完善、可行性一般，赋3分； 后续服务条款及措施承诺不可行、不全面，赋1分；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提供2022年9月至今（以施工合同协议书或中标通知书复印件为准）类似项目业绩，每有1项计1.5分，最多得3分；未提供不计分。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报价得分＝（基准价/投标报价）*30 评标基准价为满足招标文件要求且投标价格最低的投标报价 ①若投标单位的报价明显低于成本价，或报价明显无法达到服务要求，评标委员会有权要求投标单位做出报价澄清并提供相关证明，若在限定时间内无法澄清或无法出具合理的证明，经评标委员会二分之一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