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w:t>
      </w:r>
      <w:bookmarkStart w:id="0" w:name="_GoBack"/>
      <w:bookmarkEnd w:id="0"/>
      <w:r>
        <w:rPr>
          <w:rFonts w:hint="eastAsia" w:ascii="仿宋_GB2312" w:hAnsi="仿宋_GB2312" w:eastAsia="仿宋_GB2312" w:cs="仿宋_GB2312"/>
          <w:b w:val="0"/>
          <w:bCs w:val="0"/>
          <w:sz w:val="28"/>
          <w:szCs w:val="28"/>
          <w:lang w:val="en-US" w:eastAsia="zh-CN"/>
        </w:rPr>
        <w:t>独立开展业务的证明，但其民事责任由其总公司承担。基本资格条件中可以提供总公司或分支机构经审计的财务报告。</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0FB50A0A"/>
    <w:rsid w:val="106A2F3D"/>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6B4C2B53"/>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278</Words>
  <Characters>281</Characters>
  <Lines>0</Lines>
  <Paragraphs>0</Paragraphs>
  <TotalTime>1</TotalTime>
  <ScaleCrop>false</ScaleCrop>
  <LinksUpToDate>false</LinksUpToDate>
  <CharactersWithSpaces>281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2025-11-17T11:00:19Z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