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版本号：XGZB251022-B07620251119001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财政云系统及国资系统网络专线租赁项目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XGZB251022-B076</w:t>
      </w:r>
      <w:r>
        <w:br/>
      </w:r>
      <w:r>
        <w:br/>
      </w:r>
      <w:r>
        <w:br/>
      </w:r>
    </w:p>
    <w:p>
      <w:pPr>
        <w:pStyle w:val="null3"/>
        <w:jc w:val="center"/>
        <w:outlineLvl w:val="2"/>
      </w:pPr>
      <w:r>
        <w:rPr>
          <w:rFonts w:ascii="仿宋_GB2312" w:hAnsi="仿宋_GB2312" w:cs="仿宋_GB2312" w:eastAsia="仿宋_GB2312"/>
          <w:sz w:val="28"/>
          <w:b/>
        </w:rPr>
        <w:t>西安经济技术开发区财政金融局</w:t>
      </w:r>
    </w:p>
    <w:p>
      <w:pPr>
        <w:pStyle w:val="null3"/>
        <w:jc w:val="center"/>
        <w:outlineLvl w:val="2"/>
      </w:pPr>
      <w:r>
        <w:rPr>
          <w:rFonts w:ascii="仿宋_GB2312" w:hAnsi="仿宋_GB2312" w:cs="仿宋_GB2312" w:eastAsia="仿宋_GB2312"/>
          <w:sz w:val="28"/>
          <w:b/>
        </w:rPr>
        <w:t>西安兴国项目管理有限公司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西安兴国项目管理有限公司</w:t>
      </w:r>
      <w:r>
        <w:rPr>
          <w:rFonts w:ascii="仿宋_GB2312" w:hAnsi="仿宋_GB2312" w:cs="仿宋_GB2312" w:eastAsia="仿宋_GB2312"/>
        </w:rPr>
        <w:t>（以下简称“代理机构”）受</w:t>
      </w:r>
      <w:r>
        <w:rPr>
          <w:rFonts w:ascii="仿宋_GB2312" w:hAnsi="仿宋_GB2312" w:cs="仿宋_GB2312" w:eastAsia="仿宋_GB2312"/>
        </w:rPr>
        <w:t>西安经济技术开发区财政金融局</w:t>
      </w:r>
      <w:r>
        <w:rPr>
          <w:rFonts w:ascii="仿宋_GB2312" w:hAnsi="仿宋_GB2312" w:cs="仿宋_GB2312" w:eastAsia="仿宋_GB2312"/>
        </w:rPr>
        <w:t>委托，拟对</w:t>
      </w:r>
      <w:r>
        <w:rPr>
          <w:rFonts w:ascii="仿宋_GB2312" w:hAnsi="仿宋_GB2312" w:cs="仿宋_GB2312" w:eastAsia="仿宋_GB2312"/>
        </w:rPr>
        <w:t>财政云系统及国资系统网络专线租赁项目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XGZB251022-B076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财政云系统及国资系统网络专线租赁项目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西安经开区财政云系统及国资系统网络专线租赁项目拟为我区财政专网56个点位铺设网络线路，保障财政云系统及国资系统正常运行，服务期三年。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授权合法的人员参加磋商全过程：供应商应授权合法的人员参加投标全过程，其中法定代表人/负责人直接投标，须提交法定代表人/负责人身份证明书和身份证。法定代表人/负责人授权代表参加投标的，须出具法定代表人/负责人授权书、授权代表身份证及该人员单位社保缴纳证明。</w:t>
      </w:r>
    </w:p>
    <w:p>
      <w:pPr>
        <w:pStyle w:val="null3"/>
      </w:pPr>
      <w:r>
        <w:rPr>
          <w:rFonts w:ascii="仿宋_GB2312" w:hAnsi="仿宋_GB2312" w:cs="仿宋_GB2312" w:eastAsia="仿宋_GB2312"/>
        </w:rPr>
        <w:t>2、信用查询：符合《财政部关于在政府采购活动中查询及使用信用记录有关问题的通知》（财库【2016】125号）文件中信用查询的要求。供应商不得为“信用中国”网站（www.creditchina.gov.cn）中列入失信被执行人和重大税收违法失信主体的供应商，不得为中国政府采购网（www.ccgp.gov.cn）政府采购严重违法失信行为记录名单中被财政部门禁止参加政府采购活动的供应商。 开标当日，由采购人或采购代理机构通过“信用中国” 网站(www. creditchina. gov.cn)、中国政府采购网 (www.ccgp.gov.cn)查询相关主体信用记录网页截图保存，若查询结果不符合要求，按无效投标处理。</w:t>
      </w:r>
    </w:p>
    <w:p>
      <w:pPr>
        <w:pStyle w:val="null3"/>
      </w:pPr>
      <w:r>
        <w:rPr>
          <w:rFonts w:ascii="仿宋_GB2312" w:hAnsi="仿宋_GB2312" w:cs="仿宋_GB2312" w:eastAsia="仿宋_GB2312"/>
        </w:rPr>
        <w:t>3、关联关系：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需在项目电子化交易系统中按要求填写《投标函》完成承诺并进行电子签章。</w:t>
      </w:r>
    </w:p>
    <w:p>
      <w:pPr>
        <w:pStyle w:val="null3"/>
      </w:pPr>
      <w:r>
        <w:rPr>
          <w:rFonts w:ascii="仿宋_GB2312" w:hAnsi="仿宋_GB2312" w:cs="仿宋_GB2312" w:eastAsia="仿宋_GB2312"/>
        </w:rPr>
        <w:t>4、非联合体磋商：本项目不接受联合体磋商。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西安经济技术开发区财政金融局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西安市未央区明光路166号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赵思晨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86538459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西安兴国项目管理有限公司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西安经济技术开发区凤城十二路66号（首创富北高银）28幢2单元14层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杨思翔、贺文晓</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029-87433755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康钧朝</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029-89821250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采购包1：1,209,600.00元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及《国家发展改革委办公厅关于招标代理服务收费有关问题的通知》（发改价格[2003]857号）文件的通知标准收取。 服务费缴纳账户： 户名：西安兴国项目管理有限公司 开户银行：中国建设银行股份有限公司西安凤城十二路支行 银行账户：61050177004500000313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西安经济技术开发区财政金融局</w:t>
      </w:r>
      <w:r>
        <w:rPr>
          <w:rFonts w:ascii="仿宋_GB2312" w:hAnsi="仿宋_GB2312" w:cs="仿宋_GB2312" w:eastAsia="仿宋_GB2312"/>
        </w:rPr>
        <w:t>和</w:t>
      </w:r>
      <w:r>
        <w:rPr>
          <w:rFonts w:ascii="仿宋_GB2312" w:hAnsi="仿宋_GB2312" w:cs="仿宋_GB2312" w:eastAsia="仿宋_GB2312"/>
        </w:rPr>
        <w:t>西安兴国项目管理有限公司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西安经济技术开发区财政金融局</w:t>
      </w:r>
      <w:r>
        <w:rPr>
          <w:rFonts w:ascii="仿宋_GB2312" w:hAnsi="仿宋_GB2312" w:cs="仿宋_GB2312" w:eastAsia="仿宋_GB2312"/>
        </w:rPr>
        <w:t>负责解释。除上述磋商文件内容，其他内容由</w:t>
      </w:r>
      <w:r>
        <w:rPr>
          <w:rFonts w:ascii="仿宋_GB2312" w:hAnsi="仿宋_GB2312" w:cs="仿宋_GB2312" w:eastAsia="仿宋_GB2312"/>
        </w:rPr>
        <w:t>西安兴国项目管理有限公司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西安经济技术开发区财政金融局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西安兴国项目管理有限公司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西安兴国项目管理有限公司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西安兴国项目管理有限公司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西安兴国项目管理有限公司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联系人：杨思翔、贺文晓</w:t>
      </w:r>
    </w:p>
    <w:p>
      <w:pPr>
        <w:pStyle w:val="null3"/>
      </w:pPr>
      <w:r>
        <w:rPr>
          <w:rFonts w:ascii="仿宋_GB2312" w:hAnsi="仿宋_GB2312" w:cs="仿宋_GB2312" w:eastAsia="仿宋_GB2312"/>
        </w:rPr>
        <w:t>联系电话：029-87433755</w:t>
      </w:r>
    </w:p>
    <w:p>
      <w:pPr>
        <w:pStyle w:val="null3"/>
      </w:pPr>
      <w:r>
        <w:rPr>
          <w:rFonts w:ascii="仿宋_GB2312" w:hAnsi="仿宋_GB2312" w:cs="仿宋_GB2312" w:eastAsia="仿宋_GB2312"/>
        </w:rPr>
        <w:t>地址：西安经济技术开发区凤城十二路66号（首创富北高银）28幢2单元14层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西安经开区财政云系统及国资系统网络专线租赁项目拟为我区财政专网56个点位铺设网络线路，保障财政云系统及国资系统正常运行。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1,209,600.00</w:t>
      </w:r>
    </w:p>
    <w:p>
      <w:pPr>
        <w:pStyle w:val="null3"/>
      </w:pPr>
      <w:r>
        <w:rPr>
          <w:rFonts w:ascii="仿宋_GB2312" w:hAnsi="仿宋_GB2312" w:cs="仿宋_GB2312" w:eastAsia="仿宋_GB2312"/>
        </w:rPr>
        <w:t>采购包最高限价（元）: 1,209,600.00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财政云系统及国资系统网络专线租赁项目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1,209,600.00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标的名称：财政云系统及国资系统网络专线租赁项目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b/>
              </w:rPr>
              <w:t>一、商务要求</w:t>
            </w:r>
          </w:p>
          <w:p>
            <w:pPr>
              <w:pStyle w:val="null3"/>
              <w:ind w:firstLine="400"/>
              <w:jc w:val="both"/>
            </w:pPr>
            <w:r>
              <w:rPr>
                <w:rFonts w:ascii="仿宋_GB2312" w:hAnsi="仿宋_GB2312" w:cs="仿宋_GB2312" w:eastAsia="仿宋_GB2312"/>
                <w:sz w:val="20"/>
              </w:rPr>
              <w:t>1、项目名称：财政云系统及国资系统网络专线租赁项目</w:t>
            </w:r>
          </w:p>
          <w:p>
            <w:pPr>
              <w:pStyle w:val="null3"/>
              <w:ind w:firstLine="400"/>
              <w:jc w:val="both"/>
            </w:pPr>
            <w:r>
              <w:rPr>
                <w:rFonts w:ascii="仿宋_GB2312" w:hAnsi="仿宋_GB2312" w:cs="仿宋_GB2312" w:eastAsia="仿宋_GB2312"/>
                <w:sz w:val="20"/>
              </w:rPr>
              <w:t>2、服务期：“财政业务专网”网络的单位正常使用之日起计算，服务期3年。</w:t>
            </w:r>
            <w:r>
              <w:rPr>
                <w:rFonts w:ascii="仿宋_GB2312" w:hAnsi="仿宋_GB2312" w:cs="仿宋_GB2312" w:eastAsia="仿宋_GB2312"/>
                <w:sz w:val="21"/>
              </w:rPr>
              <w:t xml:space="preserve"> </w:t>
            </w:r>
          </w:p>
          <w:p>
            <w:pPr>
              <w:pStyle w:val="null3"/>
              <w:ind w:firstLine="400"/>
              <w:jc w:val="both"/>
            </w:pPr>
            <w:r>
              <w:rPr>
                <w:rFonts w:ascii="仿宋_GB2312" w:hAnsi="仿宋_GB2312" w:cs="仿宋_GB2312" w:eastAsia="仿宋_GB2312"/>
                <w:sz w:val="20"/>
              </w:rPr>
              <w:t>3、服务内容：西安经开区财政云系统及国资系统网络专线租赁项目拟为我区财政专网56个点位铺设网络线路，保障财政云系统及国资系统正常运行。</w:t>
            </w:r>
          </w:p>
          <w:p>
            <w:pPr>
              <w:pStyle w:val="null3"/>
              <w:ind w:firstLine="400"/>
              <w:jc w:val="both"/>
            </w:pPr>
            <w:r>
              <w:rPr>
                <w:rFonts w:ascii="仿宋_GB2312" w:hAnsi="仿宋_GB2312" w:cs="仿宋_GB2312" w:eastAsia="仿宋_GB2312"/>
                <w:sz w:val="20"/>
              </w:rPr>
              <w:t>4、单价最高限价：600元/月/点位。</w:t>
            </w:r>
          </w:p>
          <w:p>
            <w:pPr>
              <w:pStyle w:val="null3"/>
              <w:ind w:firstLine="400"/>
              <w:jc w:val="both"/>
            </w:pPr>
            <w:r>
              <w:rPr>
                <w:rFonts w:ascii="仿宋_GB2312" w:hAnsi="仿宋_GB2312" w:cs="仿宋_GB2312" w:eastAsia="仿宋_GB2312"/>
                <w:sz w:val="20"/>
              </w:rPr>
              <w:t>5、服务地点：采购人指定地点。</w:t>
            </w:r>
          </w:p>
          <w:p>
            <w:pPr>
              <w:pStyle w:val="null3"/>
              <w:ind w:firstLine="400"/>
              <w:jc w:val="both"/>
            </w:pPr>
            <w:r>
              <w:rPr>
                <w:rFonts w:ascii="仿宋_GB2312" w:hAnsi="仿宋_GB2312" w:cs="仿宋_GB2312" w:eastAsia="仿宋_GB2312"/>
                <w:sz w:val="20"/>
              </w:rPr>
              <w:t>6、工期：自合同签订之日起20个日历日内完成全部“财政业务专网”网络使用单位的线路接入。</w:t>
            </w:r>
          </w:p>
          <w:p>
            <w:pPr>
              <w:pStyle w:val="null3"/>
              <w:ind w:firstLine="400"/>
              <w:jc w:val="both"/>
            </w:pPr>
            <w:r>
              <w:rPr>
                <w:rFonts w:ascii="仿宋_GB2312" w:hAnsi="仿宋_GB2312" w:cs="仿宋_GB2312" w:eastAsia="仿宋_GB2312"/>
                <w:sz w:val="20"/>
              </w:rPr>
              <w:t>7、中断后果：如工作日干线网络中断半个工作日以上，依然不能修复，每延误半个工作日，免费延长合同期一周。</w:t>
            </w:r>
          </w:p>
          <w:p>
            <w:pPr>
              <w:pStyle w:val="null3"/>
              <w:ind w:firstLine="400"/>
              <w:jc w:val="both"/>
            </w:pPr>
            <w:r>
              <w:rPr>
                <w:rFonts w:ascii="仿宋_GB2312" w:hAnsi="仿宋_GB2312" w:cs="仿宋_GB2312" w:eastAsia="仿宋_GB2312"/>
                <w:sz w:val="20"/>
              </w:rPr>
              <w:t>8、本项目采用固定综合单价，单价不受市场价格增减变化因素的影响，单价包括线路租赁费、施工费、配料费和其他费用。总价据实结算。</w:t>
            </w:r>
          </w:p>
          <w:p>
            <w:pPr>
              <w:pStyle w:val="null3"/>
              <w:jc w:val="both"/>
            </w:pPr>
            <w:r>
              <w:rPr>
                <w:rFonts w:ascii="仿宋_GB2312" w:hAnsi="仿宋_GB2312" w:cs="仿宋_GB2312" w:eastAsia="仿宋_GB2312"/>
                <w:sz w:val="20"/>
                <w:b/>
              </w:rPr>
              <w:t>二、技术需求</w:t>
            </w:r>
          </w:p>
          <w:tbl>
            <w:tblPr>
              <w:tblInd w:type="dxa" w:w="135"/>
              <w:tblBorders>
                <w:top w:val="none" w:color="000000" w:sz="4"/>
                <w:left w:val="none" w:color="000000" w:sz="4"/>
                <w:bottom w:val="none" w:color="000000" w:sz="4"/>
                <w:right w:val="none" w:color="000000" w:sz="4"/>
                <w:insideH w:val="none"/>
                <w:insideV w:val="none"/>
              </w:tblBorders>
            </w:tblPr>
            <w:tblGrid>
              <w:gridCol w:w="1290"/>
              <w:gridCol w:w="1263"/>
            </w:tblGrid>
            <w:tr>
              <w:tc>
                <w:tcPr>
                  <w:tcW w:type="dxa" w:w="12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参数</w:t>
                  </w:r>
                  <w:r>
                    <w:rPr>
                      <w:rFonts w:ascii="仿宋_GB2312" w:hAnsi="仿宋_GB2312" w:cs="仿宋_GB2312" w:eastAsia="仿宋_GB2312"/>
                      <w:sz w:val="21"/>
                    </w:rPr>
                    <w:t>/类型</w:t>
                  </w:r>
                </w:p>
              </w:tc>
              <w:tc>
                <w:tcPr>
                  <w:tcW w:type="dxa" w:w="1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指标要求</w:t>
                  </w:r>
                </w:p>
              </w:tc>
            </w:tr>
            <w:tr>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带宽</w:t>
                  </w:r>
                </w:p>
              </w:tc>
              <w:tc>
                <w:tcPr>
                  <w:tcW w:type="dxa" w:w="1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≥10M</w:t>
                  </w:r>
                </w:p>
              </w:tc>
            </w:tr>
            <w:tr>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传输比特差错率</w:t>
                  </w:r>
                </w:p>
              </w:tc>
              <w:tc>
                <w:tcPr>
                  <w:tcW w:type="dxa" w:w="1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vertAlign w:val="superscript"/>
                    </w:rPr>
                    <w:t>-7</w:t>
                  </w:r>
                </w:p>
              </w:tc>
            </w:tr>
            <w:tr>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接口实测速率</w:t>
                  </w:r>
                </w:p>
              </w:tc>
              <w:tc>
                <w:tcPr>
                  <w:tcW w:type="dxa" w:w="1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≥接口理论速率X90%</w:t>
                  </w:r>
                </w:p>
              </w:tc>
            </w:tr>
            <w:tr>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传输延时</w:t>
                  </w:r>
                </w:p>
              </w:tc>
              <w:tc>
                <w:tcPr>
                  <w:tcW w:type="dxa" w:w="1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ms</w:t>
                  </w:r>
                </w:p>
              </w:tc>
            </w:tr>
            <w:tr>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网络可用性</w:t>
                  </w:r>
                </w:p>
              </w:tc>
              <w:tc>
                <w:tcPr>
                  <w:tcW w:type="dxa" w:w="1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r>
                    <w:rPr>
                      <w:rFonts w:ascii="仿宋_GB2312" w:hAnsi="仿宋_GB2312" w:cs="仿宋_GB2312" w:eastAsia="仿宋_GB2312"/>
                      <w:sz w:val="21"/>
                    </w:rPr>
                    <w:t>8</w:t>
                  </w:r>
                  <w:r>
                    <w:rPr>
                      <w:rFonts w:ascii="仿宋_GB2312" w:hAnsi="仿宋_GB2312" w:cs="仿宋_GB2312" w:eastAsia="仿宋_GB2312"/>
                      <w:sz w:val="21"/>
                    </w:rPr>
                    <w:t>%</w:t>
                  </w:r>
                </w:p>
              </w:tc>
            </w:tr>
            <w:tr>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切换时间</w:t>
                  </w:r>
                </w:p>
              </w:tc>
              <w:tc>
                <w:tcPr>
                  <w:tcW w:type="dxa" w:w="1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ms</w:t>
                  </w:r>
                </w:p>
              </w:tc>
            </w:tr>
            <w:tr>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可扩容性</w:t>
                  </w:r>
                </w:p>
              </w:tc>
              <w:tc>
                <w:tcPr>
                  <w:tcW w:type="dxa" w:w="1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带宽占用率达到</w:t>
                  </w:r>
                  <w:r>
                    <w:rPr>
                      <w:rFonts w:ascii="仿宋_GB2312" w:hAnsi="仿宋_GB2312" w:cs="仿宋_GB2312" w:eastAsia="仿宋_GB2312"/>
                      <w:sz w:val="21"/>
                    </w:rPr>
                    <w:t>80%以上时，自动提</w:t>
                  </w:r>
                </w:p>
                <w:p>
                  <w:pPr>
                    <w:pStyle w:val="null3"/>
                    <w:jc w:val="center"/>
                  </w:pPr>
                  <w:r>
                    <w:rPr>
                      <w:rFonts w:ascii="仿宋_GB2312" w:hAnsi="仿宋_GB2312" w:cs="仿宋_GB2312" w:eastAsia="仿宋_GB2312"/>
                      <w:sz w:val="21"/>
                    </w:rPr>
                    <w:t>升带宽</w:t>
                  </w:r>
                </w:p>
              </w:tc>
            </w:tr>
            <w:tr>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线路冗余性</w:t>
                  </w:r>
                </w:p>
              </w:tc>
              <w:tc>
                <w:tcPr>
                  <w:tcW w:type="dxa" w:w="1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重要节点配备双线路双路由</w:t>
                  </w:r>
                </w:p>
              </w:tc>
            </w:tr>
          </w:tbl>
          <w:p>
            <w:pPr>
              <w:pStyle w:val="null3"/>
              <w:jc w:val="both"/>
            </w:pPr>
            <w:r>
              <w:rPr>
                <w:rFonts w:ascii="仿宋_GB2312" w:hAnsi="仿宋_GB2312" w:cs="仿宋_GB2312" w:eastAsia="仿宋_GB2312"/>
                <w:sz w:val="21"/>
                <w:b/>
                <w:color w:val="000000"/>
              </w:rPr>
              <w:t>注：</w:t>
            </w:r>
            <w:r>
              <w:rPr>
                <w:rFonts w:ascii="仿宋_GB2312" w:hAnsi="仿宋_GB2312" w:cs="仿宋_GB2312" w:eastAsia="仿宋_GB2312"/>
                <w:sz w:val="21"/>
                <w:b/>
                <w:color w:val="000000"/>
              </w:rPr>
              <w:t>可采用租用运营商裸光纤线路。</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“财政业务专网”网络的单位正常使用之日起计算，服务期3年。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按采购合同执行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在项目交付并开始正常使用后，按半年为付款周期，根据实际点位数量据实结算，付款前乙方需提供合法有效的足额含税发票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16.66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按半年为付款周期，根据实际点位数量据实结算，付款前乙方需提供合法有效的足额含税发票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16.66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按半年为付款周期，根据实际点位数量据实结算，付款前乙方需提供合法有效的足额含税发票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16.66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按半年为付款周期，根据实际点位数量据实结算，付款前乙方需提供合法有效的足额含税发票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16.66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按半年为付款周期，根据实际点位数量据实结算，付款前乙方需提供合法有效的足额含税发票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16.66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在项目验收完成后，根据实际点位数量据实结算，付款前乙方需提供合法有效的足额含税发票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16.70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未按合同要求提供服务或服务质量不能满足合同要求，采购人应当将服务商违约的情况以及拟采取的措施以书面形式报政府采购监管部门，根据政府采购监管部门的处理意见，采购人有权依据《民法典》有关条款及合同约定终止合同，并要求服务商承担违约责任。同时，政府采购监管部门有权依据《政府采购法》及相关法律法规对服务商的违法行为进行相应的处罚。（2）其他未尽事宜，按《民法典》中的相关条款执行。 争议的解决：因本合同而引起的或与本合同有关的任何争议，双方应当友好协商解决。如协商未能达成一致时，向有管辖权的人民法院提起诉讼。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1.本项目非专门面向中小企业采购。 2.需要落实的政府采购政策：（1）财政部、工业和信息化部关于印发《政府采购促进中小企业发展管理办法》的通知-财库〔2020〕46号；（2）关于进一步加大政府采购支持中小企业力度的通知-财库〔2022〕19号；（3）财政部 司法部关于政府采购支持监狱企业发展有关问题的通知-财库〔2014〕68号；（4）财政部 民政部 中国残疾人联合会关于促进残疾人就业政府采购政策的通知-财库〔2017〕141号；（5）财政部 发展改革委 生态环境部 国家市场监督管理总局关于调整优化节能产品、环境标志产品政府采购执行机制的通知-财库〔2019〕9号；（6）财政部生态环境部关于印发环境标志产品政府采购品目清单的通知-财库〔2019〕18号；（7）财政部发展改革委关于印发节能产品政府采购品目清单的通知 -财库〔2019〕19号；（8）财政部 农业农村部 国家乡村振兴局关于运用政府采购政策支持乡村产业振兴的通知-财库〔2021〕19号；（9）财政部、农业农村部、国家乡村振兴局、中华全国供销合作总社关于印发《关于深入开展政府采购脱贫地区农副产品工作推进乡村产业振兴的实施意见》的通知-财库〔2021〕20号；（10）陕西省财政厅关于落实政府采购支持中小企业政策有关事项的通知-陕财办采函〔2022〕10号；（11）陕西省财政厅关于进一步加强政府绿色采购有关问题的通知-陕财办采〔2021〕29号；（12）陕西省财政厅关于印发《陕西省中小企业政府采购信用融资办法》-陕财办采〔2018〕23号；（13）陕西省财政厅关于加快推进我省中小企业政府采购信用融资工作的通知-陕财办采〔2020〕15号；（14）陕西省财政厅 中国人民银行西安分行关于深入推进政府采购信用融资业务的通知-陕财办采〔2023〕5号；（15）西安市财政局关于促进政府采购公平竞争优化营商环境的通知-市财函〔2021〕431号；（16）西安市财政局关于贯彻落实&lt;西安市政府采购信用担保及信用融资工作实施方案（试行）&gt;有关事宜的通知-市财发〔2015〕4号；（17）如有最新颁布的政府采购政策，按最新的文件执行。 3.纸质版响应文件要求：成交供应商在领取成交通知书前，须向采购代理机构提供纸质版响应文件3套（1正2副），电子文件2份（光盘和U盘各1份，内容包括Word版本、签章PDF版本响应文件）且提供的响应文件必须与在陕西省政府采购综合管理平台的项目电子化交易系统中提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1.法人或者其他组织提供营业执照等证明文件，自然人提供身份证件； 2.提供2024年度经审计的财务报告（成立时间至磋商截止时间不足一年的可提供成立后任意时段的资产负债表）或磋商截止时间前三个月内其基本账户银行出具的资信证明或政府采购信用担保机构出具的担保函；（以上两种形式的资料提供任何一种即可）； 3.提供具有履行本合同所必需的设备和专业技术能力的书面声明； 4.提供投标截止时间前一年内任意时段的税收缴纳凭证及社会保险缴纳的凭证； 5.供应商提供参加政府采购活动前三年内在经营活动中没有重大违法记录的书面声明。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9.供应商资格证明文件.pdf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提供2024年度经审计的财务报告（成立时间至磋商截止时间不足一年的可提供成立后任意时段的资产负债表）或磋商截止时间前三个月内其基本账户银行出具的资信证明或政府采购信用担保机构出具的担保函；（以上两种形式的资料提供任何一种即可）。</w:t>
            </w:r>
          </w:p>
        </w:tc>
        <w:tc>
          <w:tcPr>
            <w:tcW w:type="dxa" w:w="1661"/>
          </w:tcPr>
          <w:p>
            <w:pPr>
              <w:pStyle w:val="null3"/>
            </w:pPr>
            <w:r>
              <w:rPr>
                <w:rFonts w:ascii="仿宋_GB2312" w:hAnsi="仿宋_GB2312" w:cs="仿宋_GB2312" w:eastAsia="仿宋_GB2312"/>
              </w:rPr>
              <w:t>9.供应商资格证明文件.pdf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法定代表人/负责人授权代表参加投标的，须出具法定代表人/负责人授权书、授权代表身份证及该人员单位社保缴纳证明。</w:t>
            </w:r>
          </w:p>
        </w:tc>
        <w:tc>
          <w:tcPr>
            <w:tcW w:type="dxa" w:w="1661"/>
          </w:tcPr>
          <w:p>
            <w:pPr>
              <w:pStyle w:val="null3"/>
            </w:pPr>
            <w:r>
              <w:rPr>
                <w:rFonts w:ascii="仿宋_GB2312" w:hAnsi="仿宋_GB2312" w:cs="仿宋_GB2312" w:eastAsia="仿宋_GB2312"/>
              </w:rPr>
              <w:t>9.供应商资格证明文件.pdf 10.法定代表人身份证明及法定代表人授权委托书.pdf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供应商不得为“信用中国”网站（www.creditchina.gov.cn）中列入失信被执行人和重大税收违法失信主体的供应商，不得为中国政府采购网（www.ccgp.gov.cn）政府采购严重违法失信行为记录名单中被财政部门禁止参加政府采购活动的供应商。 开标当日，由采购人或采购代理机构通过“信用中国” 网站(www. creditchina. gov.cn)、中国政府采购网 (www.ccgp.gov.cn)查询相关主体信用记录网页截图保存，若查询结果不符合要求，按无效投标处理。</w:t>
            </w:r>
          </w:p>
        </w:tc>
        <w:tc>
          <w:tcPr>
            <w:tcW w:type="dxa" w:w="1661"/>
          </w:tcPr>
          <w:p>
            <w:pPr>
              <w:pStyle w:val="null3"/>
            </w:pPr>
            <w:r>
              <w:rPr>
                <w:rFonts w:ascii="仿宋_GB2312" w:hAnsi="仿宋_GB2312" w:cs="仿宋_GB2312" w:eastAsia="仿宋_GB2312"/>
              </w:rPr>
              <w:t>9.供应商资格证明文件.pdf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9.供应商资格证明文件.pdf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9.供应商资格证明文件.pdf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5.磋商一览表.pdf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中小企业声明函 12.供应商承诺书.pdf 报价表 响应文件封面 5.磋商一览表.pdf 9.供应商资格证明文件.pdf 10.法定代表人身份证明及法定代表人授权委托书.pdf 残疾人福利性单位声明函 14.业绩证明文件.pdf 标的清单 响应函 11.商务、技术条款响应表.pdf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5.磋商一览表.pdf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5.磋商一览表.pdf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9.供应商资格证明文件.pdf 10.法定代表人身份证明及法定代表人授权委托书.pdf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5.磋商一览表.pdf 9.供应商资格证明文件.pdf 13.服务方案.pdf 12.供应商承诺书.pdf 标的清单 报价表 11.商务、技术条款响应表.pdf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5.磋商一览表.pdf 9.供应商资格证明文件.pdf 13.服务方案.pdf 12.供应商承诺书.pdf 标的清单 报价表 11.商务、技术条款响应表.pdf</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总体服务方案根据本项目实际需求，从①项目实施规划、部署②组织协调方案③服务计划④实施方案，包括安装、调试、维护、检修、故障排除，以及线路的新增、拆除、端点迁移服务等⑤质量保障及处理措施（内容包括但不限于安全保障措施、采购环节控制、运输等）。方案各项内容全面详细、阐述条理清晰详尽、符合本项目采购需求，能有效保障本项目实施，得20分；每有一项缺项扣4分；每有一项内容存在缺陷，扣2分。 备注：缺陷是指内容不合理、虽有内容但不完善、内容表述前后不一致、套用其他项目方案或与项目需求不匹配及其他不利于项目实施的等任意一种情形。 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13.服务方案.pdf</w:t>
            </w:r>
          </w:p>
        </w:tc>
      </w:tr>
      <w:tr>
        <w:tc>
          <w:tcPr>
            <w:tcW w:type="dxa" w:w="831"/>
            <w:vMerge/>
          </w:tcPr>
          <w:p/>
        </w:tc>
        <w:tc>
          <w:tcPr>
            <w:tcW w:type="dxa" w:w="1661"/>
          </w:tcPr>
          <w:p>
            <w:pPr>
              <w:pStyle w:val="null3"/>
            </w:pPr>
            <w:r>
              <w:rPr>
                <w:rFonts w:ascii="仿宋_GB2312" w:hAnsi="仿宋_GB2312" w:cs="仿宋_GB2312" w:eastAsia="仿宋_GB2312"/>
              </w:rPr>
              <w:t>服务进度安排计划</w:t>
            </w:r>
          </w:p>
        </w:tc>
        <w:tc>
          <w:tcPr>
            <w:tcW w:type="dxa" w:w="2492"/>
          </w:tcPr>
          <w:p>
            <w:pPr>
              <w:pStyle w:val="null3"/>
            </w:pPr>
            <w:r>
              <w:rPr>
                <w:rFonts w:ascii="仿宋_GB2312" w:hAnsi="仿宋_GB2312" w:cs="仿宋_GB2312" w:eastAsia="仿宋_GB2312"/>
              </w:rPr>
              <w:t>①服务进度安排清晰明确，合理科学，且有明确的进度保障措施，得10分； ②服务进度安排比较完整且具有进度保障措施，得7.5分； ③服务进度安排方案简单粗略，有进度保障措施，得5分； ④服务进度安排方案简单粗略且无进度保障措施，得2.5分。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13.服务方案.pdf</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针对本项目特点提出质量保证措施，评标委员会根据响应情况进行赋分。 ①供应商具有明确的服务质量保障措施，且保障措施详细明确合理且可行性强，得10分； ②质量保障措施较完整、合理，有一定可行性，得7.5分； ③有质量保障措施，且质量保障措施基本能保障项目服务质量，得5分； ④质量保障措施有明显缺陷，得2.5分。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13.服务方案.pdf</w:t>
            </w:r>
          </w:p>
        </w:tc>
      </w:tr>
      <w:tr>
        <w:tc>
          <w:tcPr>
            <w:tcW w:type="dxa" w:w="831"/>
            <w:vMerge/>
          </w:tcPr>
          <w:p/>
        </w:tc>
        <w:tc>
          <w:tcPr>
            <w:tcW w:type="dxa" w:w="1661"/>
          </w:tcPr>
          <w:p>
            <w:pPr>
              <w:pStyle w:val="null3"/>
            </w:pPr>
            <w:r>
              <w:rPr>
                <w:rFonts w:ascii="仿宋_GB2312" w:hAnsi="仿宋_GB2312" w:cs="仿宋_GB2312" w:eastAsia="仿宋_GB2312"/>
              </w:rPr>
              <w:t>应急处理预案</w:t>
            </w:r>
          </w:p>
        </w:tc>
        <w:tc>
          <w:tcPr>
            <w:tcW w:type="dxa" w:w="2492"/>
          </w:tcPr>
          <w:p>
            <w:pPr>
              <w:pStyle w:val="null3"/>
            </w:pPr>
            <w:r>
              <w:rPr>
                <w:rFonts w:ascii="仿宋_GB2312" w:hAnsi="仿宋_GB2312" w:cs="仿宋_GB2312" w:eastAsia="仿宋_GB2312"/>
              </w:rPr>
              <w:t>针对本项目特点提出可能出现的紧急情况及对应的应急措施，评标委员会根据响应情况进行赋分。 ①应急措施能结合本项目实际情况，内容详细，针对性强，合理可行，能达到预期效果，得10分； ②应急措施基本满足项目要求，内容较完善合理，有一定针对性，得7.5分； ③应急措施较完整、可行，但不具有针对性，计5分； ④应急措施内容欠缺、不完整，得2.5分。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13.服务方案.pdf</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提供针对本项目的保密措施（包括但不限于：保密制度、数据安全保密措施、泄密处罚制度、补救措施）。 ①保密措施能结合本项目实际情况，内容详细，针对性强，合理可行，能达到预期效果，得10分； ②保密措施基本满足项目要求，内容较完善合理，有一定针对性，得7.5分； ③保密措施较完整、可行，但不具有针对性，计5分； ④保密措施内容欠缺、不完整，得2.5分。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13.服务方案.pdf</w:t>
            </w:r>
          </w:p>
        </w:tc>
      </w:tr>
      <w:tr>
        <w:tc>
          <w:tcPr>
            <w:tcW w:type="dxa" w:w="831"/>
            <w:vMerge/>
          </w:tcPr>
          <w:p/>
        </w:tc>
        <w:tc>
          <w:tcPr>
            <w:tcW w:type="dxa" w:w="1661"/>
          </w:tcPr>
          <w:p>
            <w:pPr>
              <w:pStyle w:val="null3"/>
            </w:pPr>
            <w:r>
              <w:rPr>
                <w:rFonts w:ascii="仿宋_GB2312" w:hAnsi="仿宋_GB2312" w:cs="仿宋_GB2312" w:eastAsia="仿宋_GB2312"/>
              </w:rPr>
              <w:t>售后服务保障承诺</w:t>
            </w:r>
          </w:p>
        </w:tc>
        <w:tc>
          <w:tcPr>
            <w:tcW w:type="dxa" w:w="2492"/>
          </w:tcPr>
          <w:p>
            <w:pPr>
              <w:pStyle w:val="null3"/>
            </w:pPr>
            <w:r>
              <w:rPr>
                <w:rFonts w:ascii="仿宋_GB2312" w:hAnsi="仿宋_GB2312" w:cs="仿宋_GB2312" w:eastAsia="仿宋_GB2312"/>
              </w:rPr>
              <w:t>针对本项目及采购人实际需求提供详细具体可行的售后服务保障承诺，包括组织保障、人员保障、设备保障、合同履行承诺等，并阐明可提供的咨询或后期服务内容。 ①服务保障承诺内容全面、形式多样、保障措施描述详细、涵盖范围广，得10分； ②服务保障承诺内容基本全面、有相对应的保障措施但描述不够详细，得7.5分； ③服务保障承诺内容笼统、形式单一、保障措施概括简单，得5分； ④内容缺项，不完整，得2.5分。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13.服务方案.pdf</w:t>
            </w:r>
          </w:p>
        </w:tc>
      </w:tr>
      <w:tr>
        <w:tc>
          <w:tcPr>
            <w:tcW w:type="dxa" w:w="831"/>
            <w:vMerge/>
          </w:tcPr>
          <w:p/>
        </w:tc>
        <w:tc>
          <w:tcPr>
            <w:tcW w:type="dxa" w:w="1661"/>
          </w:tcPr>
          <w:p>
            <w:pPr>
              <w:pStyle w:val="null3"/>
            </w:pPr>
            <w:r>
              <w:rPr>
                <w:rFonts w:ascii="仿宋_GB2312" w:hAnsi="仿宋_GB2312" w:cs="仿宋_GB2312" w:eastAsia="仿宋_GB2312"/>
              </w:rPr>
              <w:t>故障响应方案</w:t>
            </w:r>
          </w:p>
        </w:tc>
        <w:tc>
          <w:tcPr>
            <w:tcW w:type="dxa" w:w="2492"/>
          </w:tcPr>
          <w:p>
            <w:pPr>
              <w:pStyle w:val="null3"/>
            </w:pPr>
            <w:r>
              <w:rPr>
                <w:rFonts w:ascii="仿宋_GB2312" w:hAnsi="仿宋_GB2312" w:cs="仿宋_GB2312" w:eastAsia="仿宋_GB2312"/>
              </w:rPr>
              <w:t>针对本项目提出具体的故障响应方案，包含：故障识别和报告机制、故障分析和定位、故障恢复（含具体的故障恢复响应时间）、沟通反馈机制。 ①方案能结合本项目实际情况，内容详细，针对性强，合理可行，能达到预期效果，得10分； ②方案满足项目要求，内容较完善合理，保障措施较全面，有一定的可行性，得7.5分； ③方案基本满足项目要求，保障措施较全面，但不具有针对性，计5分； ④方案缺项，内容不全面，得2.5分。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13.服务方案.pdf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供应商提供2022年1月1日至今（以合同签订日期为准）类似项目业绩,每项业绩得2.5分，最高得10分。 注：业绩须提供合同复印件(加盖供应商公章)；弄虚作假者取消其磋商、成交资格。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14.业绩证明文件.pdf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1.经初审合格的磋商响应文件，其磋商报价为有效磋商报价。对符合政策性扣减的有效投标报价进行政策性扣减，并依据扣减后的价格（评审价格）进行价格评审。 2.满足磋商文件实质性要求且最后报价最低的投标人的价格为磋商基准价，其价格分为满分。 3.磋商报价得分=（磋商基准价/最终磋商报价）×10。计算分数时四舍五入取小数点后两位。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5.磋商一览表.pdf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5.磋商一览表.pdf</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详见附件：5.磋商一览表.pdf</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详见附件：9.供应商资格证明文件.pdf</w:t>
      </w:r>
    </w:p>
    <w:p>
      <w:pPr>
        <w:pStyle w:val="null3"/>
        <w:ind w:firstLine="960"/>
      </w:pPr>
      <w:r>
        <w:rPr>
          <w:rFonts w:ascii="仿宋_GB2312" w:hAnsi="仿宋_GB2312" w:cs="仿宋_GB2312" w:eastAsia="仿宋_GB2312"/>
        </w:rPr>
        <w:t>详见附件：10.法定代表人身份证明及法定代表人授权委托书.pdf</w:t>
      </w:r>
    </w:p>
    <w:p>
      <w:pPr>
        <w:pStyle w:val="null3"/>
        <w:ind w:firstLine="960"/>
      </w:pPr>
      <w:r>
        <w:rPr>
          <w:rFonts w:ascii="仿宋_GB2312" w:hAnsi="仿宋_GB2312" w:cs="仿宋_GB2312" w:eastAsia="仿宋_GB2312"/>
        </w:rPr>
        <w:t>详见附件：11.商务、技术条款响应表.pdf</w:t>
      </w:r>
    </w:p>
    <w:p>
      <w:pPr>
        <w:pStyle w:val="null3"/>
        <w:ind w:firstLine="960"/>
      </w:pPr>
      <w:r>
        <w:rPr>
          <w:rFonts w:ascii="仿宋_GB2312" w:hAnsi="仿宋_GB2312" w:cs="仿宋_GB2312" w:eastAsia="仿宋_GB2312"/>
        </w:rPr>
        <w:t>详见附件：12.供应商承诺书.pdf</w:t>
      </w:r>
    </w:p>
    <w:p>
      <w:pPr>
        <w:pStyle w:val="null3"/>
        <w:ind w:firstLine="960"/>
      </w:pPr>
      <w:r>
        <w:rPr>
          <w:rFonts w:ascii="仿宋_GB2312" w:hAnsi="仿宋_GB2312" w:cs="仿宋_GB2312" w:eastAsia="仿宋_GB2312"/>
        </w:rPr>
        <w:t>详见附件：13.服务方案.pdf</w:t>
      </w:r>
    </w:p>
    <w:p>
      <w:pPr>
        <w:pStyle w:val="null3"/>
        <w:ind w:firstLine="960"/>
      </w:pPr>
      <w:r>
        <w:rPr>
          <w:rFonts w:ascii="仿宋_GB2312" w:hAnsi="仿宋_GB2312" w:cs="仿宋_GB2312" w:eastAsia="仿宋_GB2312"/>
        </w:rPr>
        <w:t>详见附件：14.业绩证明文件.pdf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