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版本号：SXZY2025-ZC021-CS20251216002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崇皇安置区周边配套道路工程初步设计(含方案)编制服务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SXZY2025-ZC021-CS</w:t>
      </w:r>
      <w:r>
        <w:br/>
      </w:r>
      <w:r>
        <w:br/>
      </w:r>
      <w:r>
        <w:br/>
      </w:r>
    </w:p>
    <w:p>
      <w:pPr>
        <w:pStyle w:val="null3"/>
        <w:jc w:val="center"/>
        <w:outlineLvl w:val="2"/>
      </w:pPr>
      <w:r>
        <w:rPr>
          <w:rFonts w:ascii="仿宋_GB2312" w:hAnsi="仿宋_GB2312" w:cs="仿宋_GB2312" w:eastAsia="仿宋_GB2312"/>
          <w:sz w:val="28"/>
          <w:b/>
        </w:rPr>
        <w:t>西安经济技术开发区泾渭新城发展建设管理中心</w:t>
      </w:r>
    </w:p>
    <w:p>
      <w:pPr>
        <w:pStyle w:val="null3"/>
        <w:jc w:val="center"/>
        <w:outlineLvl w:val="2"/>
      </w:pPr>
      <w:r>
        <w:rPr>
          <w:rFonts w:ascii="仿宋_GB2312" w:hAnsi="仿宋_GB2312" w:cs="仿宋_GB2312" w:eastAsia="仿宋_GB2312"/>
          <w:sz w:val="28"/>
          <w:b/>
        </w:rPr>
        <w:t>陕西中易项目管理有限公司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陕西中易项目管理有限公司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西安经济技术开发区泾渭新城发展建设管理中心</w:t>
      </w:r>
      <w:r>
        <w:rPr>
          <w:rFonts w:ascii="仿宋_GB2312" w:hAnsi="仿宋_GB2312" w:cs="仿宋_GB2312" w:eastAsia="仿宋_GB2312"/>
        </w:rPr>
        <w:t>委托，拟对</w:t>
      </w:r>
      <w:r>
        <w:rPr>
          <w:rFonts w:ascii="仿宋_GB2312" w:hAnsi="仿宋_GB2312" w:cs="仿宋_GB2312" w:eastAsia="仿宋_GB2312"/>
        </w:rPr>
        <w:t>崇皇安置区周边配套道路工程初步设计(含方案)编制服务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SXZY2025-ZC021-CS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崇皇安置区周边配套道路工程初步设计(含方案)编制服务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1.纬五路（渭阳路-崇皇安置区DK2地块）：纬五路（渭阳路-崇皇安置区DK2地块）：道路全长约500m，规划红线宽20m，主要建设内容包括道路、雨水、给水、交通、照明、绿化及土方清运等，总投资2350万元。 2.渭阳路东侧规划路（纬五路-纬六路）：道路全长约285m，规划红线宽20m，主要建设内容包括道路、雨水、给水、交通、照明、绿化及土方清运等，总投资1650万元。 3.纬六路（渭阳路-崇皇安置区DK2地块）一期工程：道路全长约515m，规划红线宽30-40m。一期按照新建道路标准实施北半幅正式道路，建设内容包括道路、雨水、给水、污水、交通、照明、绿化、电力排管及土方清运等，总投资3450万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采购包1（崇皇安置区周边配套道路工程初步设计(含方案)编制服务）：属于专门面向中小企业采购。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1、授权委托书：法定代表人授权书（附法定代表人身份证复印件及被授权人身份证复印件），（法定代表人直接参加磋商，须提供法定代表人身份证明复印件），非法人单位参照执行。</w:t>
      </w:r>
    </w:p>
    <w:p>
      <w:pPr>
        <w:pStyle w:val="null3"/>
      </w:pPr>
      <w:r>
        <w:rPr>
          <w:rFonts w:ascii="仿宋_GB2312" w:hAnsi="仿宋_GB2312" w:cs="仿宋_GB2312" w:eastAsia="仿宋_GB2312"/>
        </w:rPr>
        <w:t>2、企业资质：供应商应具有工程设计综合甲级资质或市政行业工程设计甲级资质或市政行业（燃气工程、轨道交通工程除外）甲级资质或市政行业（道路工程）专业乙级及以上资质并在人员、设备、资金等方面具备相应的设计能力。</w:t>
      </w:r>
    </w:p>
    <w:p>
      <w:pPr>
        <w:pStyle w:val="null3"/>
      </w:pPr>
      <w:r>
        <w:rPr>
          <w:rFonts w:ascii="仿宋_GB2312" w:hAnsi="仿宋_GB2312" w:cs="仿宋_GB2312" w:eastAsia="仿宋_GB2312"/>
        </w:rPr>
        <w:t>3、项目负责人：供应商拟派项目负责人须具备市政工程相关专业高级工程师及以上职称。</w:t>
      </w:r>
    </w:p>
    <w:p>
      <w:pPr>
        <w:pStyle w:val="null3"/>
      </w:pPr>
      <w:r>
        <w:rPr>
          <w:rFonts w:ascii="仿宋_GB2312" w:hAnsi="仿宋_GB2312" w:cs="仿宋_GB2312" w:eastAsia="仿宋_GB2312"/>
        </w:rPr>
        <w:t>4、信用截图：供应商未被“信用中国”网站（www.creditchina.gov.cn）列入失信被执行人和重大税收违法失信主体，未被中国政府采购网（www.ccgp.gov.cn）列入政府采购严重违法失信行为记录名单；（响应文件解密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西安经济技术开发区泾渭新城发展建设管理中心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西安经济技术开发区泾渭新城西金路29号泾渭国际中心8楼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029-86061255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陕西中易项目管理有限公司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陕西省西安经济技术开发区尚稷路碧桂园文景府1号楼201室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029-89291292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金老师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文件中服务类收费标准计取。 账户名称：陕西中易项目管理有限公司 开户银行：中国建设银行股份有限公司西安经济技术开发区支行 银行账户：61050193004100002355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西安经济技术开发区泾渭新城发展建设管理中心</w:t>
      </w:r>
      <w:r>
        <w:rPr>
          <w:rFonts w:ascii="仿宋_GB2312" w:hAnsi="仿宋_GB2312" w:cs="仿宋_GB2312" w:eastAsia="仿宋_GB2312"/>
        </w:rPr>
        <w:t>和</w:t>
      </w:r>
      <w:r>
        <w:rPr>
          <w:rFonts w:ascii="仿宋_GB2312" w:hAnsi="仿宋_GB2312" w:cs="仿宋_GB2312" w:eastAsia="仿宋_GB2312"/>
        </w:rPr>
        <w:t>陕西中易项目管理有限公司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西安经济技术开发区泾渭新城发展建设管理中心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陕西中易项目管理有限公司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西安经济技术开发区泾渭新城发展建设管理中心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陕西中易项目管理有限公司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按时按质按量安标准完成</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陕西中易项目管理有限公司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陕西中易项目管理有限公司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陕西中易项目管理有限公司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联系人：吴工</w:t>
      </w:r>
    </w:p>
    <w:p>
      <w:pPr>
        <w:pStyle w:val="null3"/>
      </w:pPr>
      <w:r>
        <w:rPr>
          <w:rFonts w:ascii="仿宋_GB2312" w:hAnsi="仿宋_GB2312" w:cs="仿宋_GB2312" w:eastAsia="仿宋_GB2312"/>
        </w:rPr>
        <w:t>联系电话：029-89291292</w:t>
      </w:r>
    </w:p>
    <w:p>
      <w:pPr>
        <w:pStyle w:val="null3"/>
      </w:pPr>
      <w:r>
        <w:rPr>
          <w:rFonts w:ascii="仿宋_GB2312" w:hAnsi="仿宋_GB2312" w:cs="仿宋_GB2312" w:eastAsia="仿宋_GB2312"/>
        </w:rPr>
        <w:t>地址：陕西省西安经济技术开发区尚稷路碧桂园文景府1号楼201室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崇皇安置区周边配套道路工程初步设计(含方案)编制服务 根据建设方案，三条待建道路预计总投资7450万元，具体为： 1.纬五路（渭阳路-崇皇安置区DK2地块）：纬五路（渭阳路-崇皇安置区DK2地块）：道路全长约500m，规划红线宽20m，主要建设内容包括道路、雨水、给水、交通、照明、绿化及土方清运等，总投资2350万元。 2.渭阳路东侧规划路（纬五路-纬六路）：道路全长约285m，规划红线宽20m，主要建设内容包括道路、雨水、给水、交通、照明、绿化及土方清运等，总投资1650万元。 3.纬六路（渭阳路-崇皇安置区DK2地块）一期工程：道路全长约515m，规划红线宽30-40m。一期按照新建道路标准实施北半幅正式道路，建设内容包括道路、雨水、给水、污水、交通、照明、绿化、电力排管及土方清运等，总投资3450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596,000.00</w:t>
      </w:r>
    </w:p>
    <w:p>
      <w:pPr>
        <w:pStyle w:val="null3"/>
      </w:pPr>
      <w:r>
        <w:rPr>
          <w:rFonts w:ascii="仿宋_GB2312" w:hAnsi="仿宋_GB2312" w:cs="仿宋_GB2312" w:eastAsia="仿宋_GB2312"/>
        </w:rPr>
        <w:t>采购包最高限价（元）: 596,000.00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工程初步设计(含方案)编制服务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标的名称：工程初步设计(含方案)编制服务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一、项目概况</w:t>
            </w:r>
            <w:r>
              <w:br/>
            </w:r>
            <w:r>
              <w:rPr>
                <w:rFonts w:ascii="仿宋_GB2312" w:hAnsi="仿宋_GB2312" w:cs="仿宋_GB2312" w:eastAsia="仿宋_GB2312"/>
              </w:rPr>
              <w:t xml:space="preserve"> 根据建设方案，三条待建道路预计总投资7450万元，具体为：</w:t>
            </w:r>
            <w:r>
              <w:br/>
            </w:r>
            <w:r>
              <w:rPr>
                <w:rFonts w:ascii="仿宋_GB2312" w:hAnsi="仿宋_GB2312" w:cs="仿宋_GB2312" w:eastAsia="仿宋_GB2312"/>
              </w:rPr>
              <w:t xml:space="preserve"> 1.纬五路（渭阳路-崇皇安置区DK2地块）：纬五路（渭阳路-崇皇安置区DK2地块）：道路全长约500m，规划红线宽20m，主要建设内容包括道路、雨水、给水、交通、照明、绿化及土方清运等，总投资2350万元。</w:t>
            </w:r>
            <w:r>
              <w:br/>
            </w:r>
            <w:r>
              <w:rPr>
                <w:rFonts w:ascii="仿宋_GB2312" w:hAnsi="仿宋_GB2312" w:cs="仿宋_GB2312" w:eastAsia="仿宋_GB2312"/>
              </w:rPr>
              <w:t xml:space="preserve"> 2.渭阳路东侧规划路（纬五路-纬六路）：道路全长约285m，规划红线宽20m，主要建设内容包括道路、雨水、给水、交通、照明、绿化及土方清运等，总投资1650万元。</w:t>
            </w:r>
            <w:r>
              <w:br/>
            </w:r>
            <w:r>
              <w:rPr>
                <w:rFonts w:ascii="仿宋_GB2312" w:hAnsi="仿宋_GB2312" w:cs="仿宋_GB2312" w:eastAsia="仿宋_GB2312"/>
              </w:rPr>
              <w:t xml:space="preserve"> 3.纬六路（渭阳路-崇皇安置区DK2地块）一期工程：道路全长约515m，规划红线宽30-40m。一期按照新建道路标准实施北半幅正式道路，建设内容包括道路、雨水、给水、污水、交通、照明、绿化、电力排管及土方清运等，总投资3450万元。</w:t>
            </w:r>
            <w:r>
              <w:br/>
            </w:r>
            <w:r>
              <w:rPr>
                <w:rFonts w:ascii="仿宋_GB2312" w:hAnsi="仿宋_GB2312" w:cs="仿宋_GB2312" w:eastAsia="仿宋_GB2312"/>
              </w:rPr>
              <w:t xml:space="preserve"> 二、采购内容</w:t>
            </w:r>
            <w:r>
              <w:br/>
            </w:r>
            <w:r>
              <w:rPr>
                <w:rFonts w:ascii="仿宋_GB2312" w:hAnsi="仿宋_GB2312" w:cs="仿宋_GB2312" w:eastAsia="仿宋_GB2312"/>
              </w:rPr>
              <w:t xml:space="preserve"> 崇皇安置区周边配套道路工程初步设计(含方案)编制服务</w:t>
            </w:r>
          </w:p>
          <w:p>
            <w:pPr>
              <w:pStyle w:val="null3"/>
            </w:pPr>
            <w:r>
              <w:rPr>
                <w:rFonts w:ascii="仿宋_GB2312" w:hAnsi="仿宋_GB2312" w:cs="仿宋_GB2312" w:eastAsia="仿宋_GB2312"/>
              </w:rPr>
              <w:t>三、技术要求</w:t>
            </w:r>
          </w:p>
          <w:p>
            <w:pPr>
              <w:pStyle w:val="null3"/>
            </w:pPr>
            <w:r>
              <w:rPr>
                <w:rFonts w:ascii="仿宋_GB2312" w:hAnsi="仿宋_GB2312" w:cs="仿宋_GB2312" w:eastAsia="仿宋_GB2312"/>
              </w:rPr>
              <w:t>国家现行的法律、法规、标准、规范及省、市有关规定。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满足服务需求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满足服务需求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自合同签订之日起至服务结束。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西安经济技术开发区泾渭新城</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参照《财政部关于进一步加强政府采购需求和履约验收管理的指导意见》(财库(2016) 205号)。经上级相关部门组织验收。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提交成果报告并符合设计需求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在履行本合同过程中，如甲、乙双方发生争议，协商解决；如双方达不成协议，向具有管辖权的人民法院提起诉讼。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供应商需在项目电子化交易系统中按要求填写《投标函》完成承诺并进行电子签章并提供：（1）提供合格有效的法人或者其他组织的营业执照等证明文件，自然人的身份证明； （2）财务状况报告：提供2024年度的财务审计报告（至少包括资产负债表和利润表，成立时间至提交响应文件截止时间不足一年的可提供成立后任意时段的资产负债表），或其基本存款账户开户银行出具的资信证明及基本存款账户开户许可证（基本存款账户信息）； （3）税收缴纳证明：提供响应文件递交截止时间前一年内已缴纳的至少一个月的纳税证明或完税证明（任意税种），依法免税的单位应提供相关证明材料； （4）社会保障资金缴纳证明：提供响应文件递交截止时间前一年内已缴存的至少一个月的社会保障资金缴存单据或社保机构开具的社会保险参保缴费情况证明，依法不需要缴纳社会保障资金的单位应提供相关证明材料； （5）承诺：提供具有履行合同所必需的设备和专业技术能力的承诺；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法定代表人授权书（附法定代表人身份证复印件及被授权人身份证复印件），（法定代表人直接参加磋商，须提供法定代表人身份证明复印件），非法人单位参照执行。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有工程设计综合甲级资质或市政行业工程设计甲级资质或市政行业（燃气工程、轨道交通工程除外）甲级资质或市政行业（道路工程）专业乙级及以上资质并在人员、设备、资金等方面具备相应的设计能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供应商拟派项目负责人须具备市政工程相关专业高级工程师及以上职称。</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报价一览表.docx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报价一览表.docx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报价形式符合磋商文件要求。</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自合同签订之日起至服务结束。</w:t>
            </w:r>
          </w:p>
        </w:tc>
        <w:tc>
          <w:tcPr>
            <w:tcW w:type="dxa" w:w="1661"/>
          </w:tcPr>
          <w:p>
            <w:pPr>
              <w:pStyle w:val="null3"/>
            </w:pPr>
            <w:r>
              <w:rPr>
                <w:rFonts w:ascii="仿宋_GB2312" w:hAnsi="仿宋_GB2312" w:cs="仿宋_GB2312" w:eastAsia="仿宋_GB2312"/>
              </w:rPr>
              <w:t>报价一览表.docx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根据对项目理解情况的①设计范围、②设计要求、③设计依据、④设计目标的响应程度。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根据对项目的①重点、难点分析和②问题解决对策的响应程度。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根据实施方案的①实施思路、②工作计划、③工作方法、④进度保障、⑤设计成果审核的响应程度。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根据对管理制度的①管理制度、②职责及分工、③工作规范的响应程度。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w:t>
            </w:r>
          </w:p>
        </w:tc>
        <w:tc>
          <w:tcPr>
            <w:tcW w:type="dxa" w:w="2492"/>
          </w:tcPr>
          <w:p>
            <w:pPr>
              <w:pStyle w:val="null3"/>
            </w:pPr>
            <w:r>
              <w:rPr>
                <w:rFonts w:ascii="仿宋_GB2312" w:hAnsi="仿宋_GB2312" w:cs="仿宋_GB2312" w:eastAsia="仿宋_GB2312"/>
              </w:rPr>
              <w:t>根据对服务质量的①管理方案、②保障措施、③整改完善及验收方案的响应程度。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造价控制、合理化建议及廉洁、保密</w:t>
            </w:r>
          </w:p>
        </w:tc>
        <w:tc>
          <w:tcPr>
            <w:tcW w:type="dxa" w:w="2492"/>
          </w:tcPr>
          <w:p>
            <w:pPr>
              <w:pStyle w:val="null3"/>
            </w:pPr>
            <w:r>
              <w:rPr>
                <w:rFonts w:ascii="仿宋_GB2312" w:hAnsi="仿宋_GB2312" w:cs="仿宋_GB2312" w:eastAsia="仿宋_GB2312"/>
              </w:rPr>
              <w:t>根据对服务过程中①造价控制措施、②有利于采购人的合理化建议、③廉洁、保密制度及措施的响应程度。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根据对后续服务的①方案措施和②后期质量保证的响应程度。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①项目组成员配备≥6人，且不少于2名市政工程相关专业高级工程师，满足的得3分，不满足不得分；在此基础上每增加1名市政工程相关专业工程师的加1分，最高加2分。 ②项目组成员中具有本工程相关专业注册执业资格的，每有 1 名得 1分，最高得 4分。（每人只计一次分） 说明：项目组成人员不含项目负责人，成员配备＜6人不得分，需提供不限于团队人员的身份证明、学历证、职称证、资质证书等相关证明材料。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供应商具有2022年12月1日起至今类似设计类项目业绩，业绩以合同扫描件（复印件）为依据；每提供1个业绩得2分，最多得10分。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（1）经初审合格的磋商响应文件，其磋商报价为有效磋商报价。（2）满足磋商文件实质性要求且最终报价最低的供应商的价格为磋商基准价，其价格分为满分15分。 （3）磋商报价得分=（磋商基准价/最终磋商报价）×15。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详见附件：报价一览表.docx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详见附件：设计拟签订采购合同文本.docx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