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版本号：SXZHZC2025-CS31920251212001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操场塑胶跑道翻新项目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SXZHZC2025-CS319</w:t>
      </w:r>
      <w:r>
        <w:br/>
      </w:r>
      <w:r>
        <w:br/>
      </w:r>
      <w:r>
        <w:br/>
      </w:r>
    </w:p>
    <w:p>
      <w:pPr>
        <w:pStyle w:val="null3"/>
        <w:jc w:val="center"/>
        <w:outlineLvl w:val="2"/>
      </w:pPr>
      <w:r>
        <w:rPr>
          <w:rFonts w:ascii="仿宋_GB2312" w:hAnsi="仿宋_GB2312" w:cs="仿宋_GB2312" w:eastAsia="仿宋_GB2312"/>
          <w:sz w:val="28"/>
          <w:b/>
        </w:rPr>
        <w:t>西安经开第二小学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西安经开第二小学</w:t>
      </w:r>
      <w:r>
        <w:rPr>
          <w:rFonts w:ascii="仿宋_GB2312" w:hAnsi="仿宋_GB2312" w:cs="仿宋_GB2312" w:eastAsia="仿宋_GB2312"/>
        </w:rPr>
        <w:t>委托，拟对</w:t>
      </w:r>
      <w:r>
        <w:rPr>
          <w:rFonts w:ascii="仿宋_GB2312" w:hAnsi="仿宋_GB2312" w:cs="仿宋_GB2312" w:eastAsia="仿宋_GB2312"/>
        </w:rPr>
        <w:t>操场塑胶跑道翻新项目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SXZHZC2025-CS319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操场塑胶跑道翻新项目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西安经开第二小学操场塑胶跑道翻新项目。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采购包1（操场塑胶跑道翻新项目）：属于专门面向中小企业采购。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2、供应商资质要求：供应商具备建设部门颁发的建筑工程施工总承包三级及以上资质，且具有有效的安全生产许可证；</w:t>
      </w:r>
    </w:p>
    <w:p>
      <w:pPr>
        <w:pStyle w:val="null3"/>
      </w:pPr>
      <w:r>
        <w:rPr>
          <w:rFonts w:ascii="仿宋_GB2312" w:hAnsi="仿宋_GB2312" w:cs="仿宋_GB2312" w:eastAsia="仿宋_GB2312"/>
        </w:rPr>
        <w:t>3、拟派项目负责人资质和专业要求 ：拟派项目负责人具备建筑工程专业二级及以上注册建造师执业资格且在本单位注册，具有有效的安全考核合格证，且未担任其他在建工程项目的项目负责人（提供无在建承诺书）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西安市经济技术开发区泾渭工业园泾环南路5号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029-61299708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张婉莹、程康、徐浩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采购包1：572,709.41元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代理服务费收费标准：定额收取人民币玖仟元整。成交供应商在领取成交通知书前，须向采购代理机构一次性支付招标代理服务费。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西安经开第二小学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以磋商文件要求及合同约定为准。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联系人：张婉莹、程康、徐浩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572,709.41</w:t>
      </w:r>
    </w:p>
    <w:p>
      <w:pPr>
        <w:pStyle w:val="null3"/>
      </w:pPr>
      <w:r>
        <w:rPr>
          <w:rFonts w:ascii="仿宋_GB2312" w:hAnsi="仿宋_GB2312" w:cs="仿宋_GB2312" w:eastAsia="仿宋_GB2312"/>
        </w:rPr>
        <w:t>采购包最高限价（元）: 572,709.41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西安经开第二小学操场塑胶跑道翻新项目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572,709.41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标的名称：西安经开第二小学操场塑胶跑道翻新项目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西安经开第二小学操场塑胶出现大面积鼓包，脱胶，开裂。塑胶面积为</w:t>
            </w:r>
            <w:r>
              <w:rPr>
                <w:rFonts w:ascii="仿宋_GB2312" w:hAnsi="仿宋_GB2312" w:cs="仿宋_GB2312" w:eastAsia="仿宋_GB2312"/>
                <w:sz w:val="24"/>
              </w:rPr>
              <w:t>3585㎡，需要铲除原有塑胶，地面翻平进行刷胶，重新铺设塑胶及垃圾外运。具体内容详见采购项目工程量清单及相关附件。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工期：</w:t>
            </w:r>
            <w:r>
              <w:rPr>
                <w:rFonts w:ascii="仿宋_GB2312" w:hAnsi="仿宋_GB2312" w:cs="仿宋_GB2312" w:eastAsia="仿宋_GB2312"/>
                <w:sz w:val="24"/>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在工程造价咨询企业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响应文件递交截止时间前三个月内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响应文件递交截止时间前三个月内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拟派项目负责人具备建筑工程专业二级及以上注册建造师执业资格且在本单位注册，具有有效的安全考核合格证，且未担任其他在建工程项目的项目负责人（提供无在建承诺书）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人员管理及材料供应措施</w:t>
            </w:r>
          </w:p>
        </w:tc>
        <w:tc>
          <w:tcPr>
            <w:tcW w:type="dxa" w:w="2492"/>
          </w:tcPr>
          <w:p>
            <w:pPr>
              <w:pStyle w:val="null3"/>
            </w:pPr>
            <w:r>
              <w:rPr>
                <w:rFonts w:ascii="仿宋_GB2312" w:hAnsi="仿宋_GB2312" w:cs="仿宋_GB2312" w:eastAsia="仿宋_GB2312"/>
              </w:rPr>
              <w:t>评审内容：①人员安排计划②材料供应措施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供应商针对本项目制定施工机械设备配备计划 ，评审标准：施工方案切合本项目实际情况，方案详细有针对性得4分；方案缺漏项或只有标题没有实质性内容的扣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供应商针对本项目制定维护方案 ，评审标准：①维修措施②保修责任及保修承诺。 方案各部分内容全面详细、阐述条理清晰详尽、措施及承诺到位、符合本项目采购需求得4分；以上分项每缺少一项内容扣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项目管理及项目部组成</w:t>
            </w:r>
          </w:p>
        </w:tc>
        <w:tc>
          <w:tcPr>
            <w:tcW w:type="dxa" w:w="2492"/>
          </w:tcPr>
          <w:p>
            <w:pPr>
              <w:pStyle w:val="null3"/>
            </w:pPr>
            <w:r>
              <w:rPr>
                <w:rFonts w:ascii="仿宋_GB2312" w:hAnsi="仿宋_GB2312" w:cs="仿宋_GB2312" w:eastAsia="仿宋_GB2312"/>
              </w:rPr>
              <w:t>评审内容：①项目管理机构②项目部组成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应急管理措施</w:t>
            </w:r>
          </w:p>
        </w:tc>
        <w:tc>
          <w:tcPr>
            <w:tcW w:type="dxa" w:w="2492"/>
          </w:tcPr>
          <w:p>
            <w:pPr>
              <w:pStyle w:val="null3"/>
            </w:pPr>
            <w:r>
              <w:rPr>
                <w:rFonts w:ascii="仿宋_GB2312" w:hAnsi="仿宋_GB2312" w:cs="仿宋_GB2312" w:eastAsia="仿宋_GB2312"/>
              </w:rPr>
              <w:t>评审内容：应急管理措施（包含但不限于停水停电、雨季施工、火灾等意外情况） 评审标准：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及质量保修期承诺③服务响应时间④服务响应措施。服务承诺合理、可行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2分，最高得6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