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版本号：TDZB-2025-200320250325001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西安经开区管委会职工2025年度健康体检项目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TDZB-2025-2003</w:t>
      </w:r>
      <w:r>
        <w:br/>
      </w:r>
      <w:r>
        <w:br/>
      </w:r>
      <w:r>
        <w:br/>
      </w:r>
    </w:p>
    <w:p>
      <w:pPr>
        <w:pStyle w:val="null3"/>
        <w:jc w:val="center"/>
        <w:outlineLvl w:val="2"/>
      </w:pPr>
      <w:r>
        <w:rPr>
          <w:rFonts w:ascii="仿宋_GB2312" w:hAnsi="仿宋_GB2312" w:cs="仿宋_GB2312" w:eastAsia="仿宋_GB2312"/>
          <w:sz w:val="28"/>
          <w:b/>
        </w:rPr>
        <w:t>西安经济技术开发区党政办公室</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西安经济技术开发区党政办公室</w:t>
      </w:r>
      <w:r>
        <w:rPr>
          <w:rFonts w:ascii="仿宋_GB2312" w:hAnsi="仿宋_GB2312" w:cs="仿宋_GB2312" w:eastAsia="仿宋_GB2312"/>
        </w:rPr>
        <w:t>委托，拟对</w:t>
      </w:r>
      <w:r>
        <w:rPr>
          <w:rFonts w:ascii="仿宋_GB2312" w:hAnsi="仿宋_GB2312" w:cs="仿宋_GB2312" w:eastAsia="仿宋_GB2312"/>
        </w:rPr>
        <w:t>西安经开区管委会职工2025年度健康体检项目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西安经开区管委会职工2025年度健康体检项目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区管委会职工2025年度健康体检项目，采购方式：竞争性磋商，预算金额：789000.00元，最高限价：789000.00元，本合同包不接受联合体投标，合同履行期限：合同签订后120日历天，以实际签订合同时间为准（具体服务起止日期可随合同签订时间相应顺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2023或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null3"/>
      </w:pPr>
      <w:r>
        <w:rPr>
          <w:rFonts w:ascii="仿宋_GB2312" w:hAnsi="仿宋_GB2312" w:cs="仿宋_GB2312" w:eastAsia="仿宋_GB2312"/>
        </w:rPr>
        <w:t>7、信用记录：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网上查询结果为评审依据)</w:t>
      </w:r>
    </w:p>
    <w:p>
      <w:pPr>
        <w:pStyle w:val="null3"/>
      </w:pPr>
      <w:r>
        <w:rPr>
          <w:rFonts w:ascii="仿宋_GB2312" w:hAnsi="仿宋_GB2312" w:cs="仿宋_GB2312" w:eastAsia="仿宋_GB2312"/>
        </w:rPr>
        <w:t>8、单位负责人为同一人或者存在直接控股、管理关系的不同供应商，不得同时参加同一项目投标：供应商需在项目电子化交易系统中按要求填写《响应函》完成承诺并进行电子签章。</w:t>
      </w:r>
    </w:p>
    <w:p>
      <w:pPr>
        <w:pStyle w:val="null3"/>
      </w:pPr>
      <w:r>
        <w:rPr>
          <w:rFonts w:ascii="仿宋_GB2312" w:hAnsi="仿宋_GB2312" w:cs="仿宋_GB2312" w:eastAsia="仿宋_GB2312"/>
        </w:rPr>
        <w:t>9、行政许可证：供应商应具有卫生行政部门核准登记取得的《医疗机构执业许可证》和《放射诊疗许可证》。</w:t>
      </w:r>
    </w:p>
    <w:p>
      <w:pPr>
        <w:pStyle w:val="null3"/>
      </w:pPr>
      <w:r>
        <w:rPr>
          <w:rFonts w:ascii="仿宋_GB2312" w:hAnsi="仿宋_GB2312" w:cs="仿宋_GB2312" w:eastAsia="仿宋_GB2312"/>
        </w:rPr>
        <w:t>10、为本项目提供整体设计、规范编制或者项目管理、监理、检测等服务的供应商，不得再参加该采购项目的其他采购活动：供应商需在项目电子化交易系统中按要求填写《响应函》完成承诺并进行电子签章。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西安市未央区明光路凯瑞F座10层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孔女士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029-89822567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西安市未央区明光路与北三环十字东北角中建财智广场5栋501室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申工、朱工、宁工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18729107315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下浮5%收取。以上费用由成交供应商支付，具体收费金额将在成交公告中公布。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西安经济技术开发区党政办公室</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达到国家（行业）强制性标准。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地址：西安市未央区明光路与北三环十字东北角中建财智广场5栋501室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西安经开区管委会职工2025年度健康体检项目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789,000.00</w:t>
      </w:r>
    </w:p>
    <w:p>
      <w:pPr>
        <w:pStyle w:val="null3"/>
      </w:pPr>
      <w:r>
        <w:rPr>
          <w:rFonts w:ascii="仿宋_GB2312" w:hAnsi="仿宋_GB2312" w:cs="仿宋_GB2312" w:eastAsia="仿宋_GB2312"/>
        </w:rPr>
        <w:t>采购包最高限价（元）: 789,000.00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标的名称：职工健康体检</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rPr>
              <w:t>1.项目概况</w:t>
            </w:r>
          </w:p>
          <w:p>
            <w:pPr>
              <w:pStyle w:val="null3"/>
              <w:ind w:firstLine="422"/>
              <w:jc w:val="left"/>
            </w:pPr>
            <w:r>
              <w:rPr>
                <w:rFonts w:ascii="仿宋_GB2312" w:hAnsi="仿宋_GB2312" w:cs="仿宋_GB2312" w:eastAsia="仿宋_GB2312"/>
                <w:sz w:val="21"/>
                <w:b/>
              </w:rPr>
              <w:t>西安经开区管委会职工</w:t>
            </w:r>
            <w:r>
              <w:rPr>
                <w:rFonts w:ascii="仿宋_GB2312" w:hAnsi="仿宋_GB2312" w:cs="仿宋_GB2312" w:eastAsia="仿宋_GB2312"/>
                <w:sz w:val="21"/>
                <w:b/>
              </w:rPr>
              <w:t>2025年度健康体检项目。</w:t>
            </w:r>
          </w:p>
          <w:p>
            <w:pPr>
              <w:pStyle w:val="null3"/>
              <w:ind w:firstLine="422"/>
              <w:jc w:val="left"/>
            </w:pPr>
            <w:r>
              <w:rPr>
                <w:rFonts w:ascii="仿宋_GB2312" w:hAnsi="仿宋_GB2312" w:cs="仿宋_GB2312" w:eastAsia="仿宋_GB2312"/>
                <w:sz w:val="21"/>
                <w:b/>
              </w:rPr>
              <w:t>本项目所属行业为其他未列明行业</w:t>
            </w:r>
          </w:p>
          <w:p>
            <w:pPr>
              <w:pStyle w:val="null3"/>
              <w:jc w:val="left"/>
            </w:pPr>
            <w:r>
              <w:rPr>
                <w:rFonts w:ascii="仿宋_GB2312" w:hAnsi="仿宋_GB2312" w:cs="仿宋_GB2312" w:eastAsia="仿宋_GB2312"/>
                <w:sz w:val="21"/>
                <w:b/>
              </w:rPr>
              <w:t>2.采购内容</w:t>
            </w:r>
          </w:p>
          <w:p>
            <w:pPr>
              <w:pStyle w:val="null3"/>
              <w:jc w:val="left"/>
            </w:pPr>
            <w:r>
              <w:rPr>
                <w:rFonts w:ascii="仿宋_GB2312" w:hAnsi="仿宋_GB2312" w:cs="仿宋_GB2312" w:eastAsia="仿宋_GB2312"/>
                <w:sz w:val="21"/>
                <w:b/>
              </w:rPr>
              <w:t>2.1服务要求</w:t>
            </w:r>
          </w:p>
          <w:p>
            <w:pPr>
              <w:pStyle w:val="null3"/>
              <w:ind w:firstLine="422"/>
              <w:jc w:val="left"/>
            </w:pPr>
            <w:r>
              <w:rPr>
                <w:rFonts w:ascii="仿宋_GB2312" w:hAnsi="仿宋_GB2312" w:cs="仿宋_GB2312" w:eastAsia="仿宋_GB2312"/>
                <w:sz w:val="21"/>
                <w:b/>
              </w:rPr>
              <w:t>2.1.1带有</w:t>
            </w:r>
            <w:r>
              <w:rPr>
                <w:rFonts w:ascii="仿宋_GB2312" w:hAnsi="仿宋_GB2312" w:cs="仿宋_GB2312" w:eastAsia="仿宋_GB2312"/>
                <w:sz w:val="21"/>
              </w:rPr>
              <w:t>★</w:t>
            </w:r>
            <w:r>
              <w:rPr>
                <w:rFonts w:ascii="仿宋_GB2312" w:hAnsi="仿宋_GB2312" w:cs="仿宋_GB2312" w:eastAsia="仿宋_GB2312"/>
                <w:sz w:val="21"/>
                <w:b/>
              </w:rPr>
              <w:t>号的条款为实质性条款不得有偏离。</w:t>
            </w:r>
          </w:p>
          <w:p>
            <w:pPr>
              <w:pStyle w:val="null3"/>
              <w:ind w:firstLine="422"/>
              <w:jc w:val="left"/>
            </w:pPr>
            <w:r>
              <w:rPr>
                <w:rFonts w:ascii="仿宋_GB2312" w:hAnsi="仿宋_GB2312" w:cs="仿宋_GB2312" w:eastAsia="仿宋_GB2312"/>
                <w:sz w:val="21"/>
                <w:b/>
              </w:rPr>
              <w:t>2.1.2下列产品为强制采购的节能产品（如有）：/</w:t>
            </w:r>
          </w:p>
          <w:p>
            <w:pPr>
              <w:pStyle w:val="null3"/>
              <w:ind w:firstLine="422"/>
              <w:jc w:val="left"/>
            </w:pPr>
            <w:r>
              <w:rPr>
                <w:rFonts w:ascii="仿宋_GB2312" w:hAnsi="仿宋_GB2312" w:cs="仿宋_GB2312" w:eastAsia="仿宋_GB2312"/>
                <w:sz w:val="21"/>
                <w:b/>
              </w:rPr>
              <w:t>2.1.3服务内容</w:t>
            </w:r>
          </w:p>
          <w:p>
            <w:pPr>
              <w:pStyle w:val="null3"/>
              <w:ind w:firstLine="420"/>
              <w:jc w:val="left"/>
            </w:pPr>
            <w:r>
              <w:rPr>
                <w:rFonts w:ascii="仿宋_GB2312" w:hAnsi="仿宋_GB2312" w:cs="仿宋_GB2312" w:eastAsia="仿宋_GB2312"/>
                <w:sz w:val="21"/>
              </w:rPr>
              <w:t>1、体检人数：</w:t>
            </w:r>
            <w:r>
              <w:rPr>
                <w:rFonts w:ascii="仿宋_GB2312" w:hAnsi="仿宋_GB2312" w:cs="仿宋_GB2312" w:eastAsia="仿宋_GB2312"/>
                <w:sz w:val="21"/>
                <w:b/>
              </w:rPr>
              <w:t>男</w:t>
            </w:r>
            <w:r>
              <w:rPr>
                <w:rFonts w:ascii="仿宋_GB2312" w:hAnsi="仿宋_GB2312" w:cs="仿宋_GB2312" w:eastAsia="仿宋_GB2312"/>
                <w:sz w:val="21"/>
                <w:b/>
              </w:rPr>
              <w:t>411人（≥40岁226</w:t>
            </w:r>
            <w:r>
              <w:rPr>
                <w:rFonts w:ascii="仿宋_GB2312" w:hAnsi="仿宋_GB2312" w:cs="仿宋_GB2312" w:eastAsia="仿宋_GB2312"/>
                <w:sz w:val="21"/>
                <w:b/>
              </w:rPr>
              <w:t>人，＜</w:t>
            </w:r>
            <w:r>
              <w:rPr>
                <w:rFonts w:ascii="仿宋_GB2312" w:hAnsi="仿宋_GB2312" w:cs="仿宋_GB2312" w:eastAsia="仿宋_GB2312"/>
                <w:sz w:val="21"/>
                <w:b/>
              </w:rPr>
              <w:t>40岁185</w:t>
            </w:r>
            <w:r>
              <w:rPr>
                <w:rFonts w:ascii="仿宋_GB2312" w:hAnsi="仿宋_GB2312" w:cs="仿宋_GB2312" w:eastAsia="仿宋_GB2312"/>
                <w:sz w:val="21"/>
                <w:b/>
              </w:rPr>
              <w:t>人）、女</w:t>
            </w:r>
            <w:r>
              <w:rPr>
                <w:rFonts w:ascii="仿宋_GB2312" w:hAnsi="仿宋_GB2312" w:cs="仿宋_GB2312" w:eastAsia="仿宋_GB2312"/>
                <w:sz w:val="21"/>
                <w:b/>
              </w:rPr>
              <w:t>315人（≥40岁228</w:t>
            </w:r>
            <w:r>
              <w:rPr>
                <w:rFonts w:ascii="仿宋_GB2312" w:hAnsi="仿宋_GB2312" w:cs="仿宋_GB2312" w:eastAsia="仿宋_GB2312"/>
                <w:sz w:val="21"/>
                <w:b/>
              </w:rPr>
              <w:t>人，＜</w:t>
            </w:r>
            <w:r>
              <w:rPr>
                <w:rFonts w:ascii="仿宋_GB2312" w:hAnsi="仿宋_GB2312" w:cs="仿宋_GB2312" w:eastAsia="仿宋_GB2312"/>
                <w:sz w:val="21"/>
                <w:b/>
              </w:rPr>
              <w:t>40岁87</w:t>
            </w:r>
            <w:r>
              <w:rPr>
                <w:rFonts w:ascii="仿宋_GB2312" w:hAnsi="仿宋_GB2312" w:cs="仿宋_GB2312" w:eastAsia="仿宋_GB2312"/>
                <w:sz w:val="21"/>
                <w:b/>
              </w:rPr>
              <w:t>人）</w:t>
            </w:r>
            <w:r>
              <w:rPr>
                <w:rFonts w:ascii="仿宋_GB2312" w:hAnsi="仿宋_GB2312" w:cs="仿宋_GB2312" w:eastAsia="仿宋_GB2312"/>
                <w:sz w:val="21"/>
              </w:rPr>
              <w:t>，共</w:t>
            </w:r>
            <w:r>
              <w:rPr>
                <w:rFonts w:ascii="仿宋_GB2312" w:hAnsi="仿宋_GB2312" w:cs="仿宋_GB2312" w:eastAsia="仿宋_GB2312"/>
                <w:sz w:val="21"/>
              </w:rPr>
              <w:t>726人。</w:t>
            </w:r>
          </w:p>
          <w:p>
            <w:pPr>
              <w:pStyle w:val="null3"/>
              <w:ind w:firstLine="420"/>
              <w:jc w:val="left"/>
            </w:pPr>
            <w:r>
              <w:rPr>
                <w:rFonts w:ascii="仿宋_GB2312" w:hAnsi="仿宋_GB2312" w:cs="仿宋_GB2312" w:eastAsia="仿宋_GB2312"/>
                <w:sz w:val="21"/>
              </w:rPr>
              <w:t>2、体检标准：最高限价单价男1000元/人、女1200元/人。</w:t>
            </w:r>
          </w:p>
          <w:p>
            <w:pPr>
              <w:pStyle w:val="null3"/>
              <w:ind w:firstLine="420"/>
              <w:jc w:val="left"/>
            </w:pPr>
            <w:r>
              <w:rPr>
                <w:rFonts w:ascii="仿宋_GB2312" w:hAnsi="仿宋_GB2312" w:cs="仿宋_GB2312" w:eastAsia="仿宋_GB2312"/>
                <w:sz w:val="21"/>
              </w:rPr>
              <w:t>3、职工根据工作情况在服务期限内自行前往体检服务点进行体检。</w:t>
            </w:r>
          </w:p>
          <w:p>
            <w:pPr>
              <w:pStyle w:val="null3"/>
              <w:ind w:firstLine="420"/>
              <w:jc w:val="left"/>
            </w:pPr>
            <w:r>
              <w:rPr>
                <w:rFonts w:ascii="仿宋_GB2312" w:hAnsi="仿宋_GB2312" w:cs="仿宋_GB2312" w:eastAsia="仿宋_GB2312"/>
                <w:sz w:val="21"/>
              </w:rPr>
              <w:t>4、供应商在响应文件中注明是否提供早餐、健康咨询等其他服务，如有，请在响应文件中一并列明。</w:t>
            </w:r>
          </w:p>
          <w:p>
            <w:pPr>
              <w:pStyle w:val="null3"/>
              <w:ind w:firstLine="210"/>
              <w:jc w:val="left"/>
            </w:pPr>
            <w:r>
              <w:rPr>
                <w:rFonts w:ascii="仿宋_GB2312" w:hAnsi="仿宋_GB2312" w:cs="仿宋_GB2312" w:eastAsia="仿宋_GB2312"/>
                <w:sz w:val="21"/>
              </w:rPr>
              <w:t>★5、体检套餐（“</w:t>
            </w:r>
            <w:r>
              <w:rPr>
                <w:rFonts w:ascii="仿宋_GB2312" w:hAnsi="仿宋_GB2312" w:cs="仿宋_GB2312" w:eastAsia="仿宋_GB2312"/>
                <w:sz w:val="20"/>
              </w:rPr>
              <w:t>√</w:t>
            </w:r>
            <w:r>
              <w:rPr>
                <w:rFonts w:ascii="仿宋_GB2312" w:hAnsi="仿宋_GB2312" w:cs="仿宋_GB2312" w:eastAsia="仿宋_GB2312"/>
                <w:sz w:val="21"/>
              </w:rPr>
              <w:t>”表示该套餐中包含此项，“</w:t>
            </w:r>
            <w:r>
              <w:rPr>
                <w:rFonts w:ascii="仿宋_GB2312" w:hAnsi="仿宋_GB2312" w:cs="仿宋_GB2312" w:eastAsia="仿宋_GB2312"/>
                <w:sz w:val="20"/>
              </w:rPr>
              <w:t>×</w:t>
            </w:r>
            <w:r>
              <w:rPr>
                <w:rFonts w:ascii="仿宋_GB2312" w:hAnsi="仿宋_GB2312" w:cs="仿宋_GB2312" w:eastAsia="仿宋_GB2312"/>
                <w:sz w:val="21"/>
              </w:rPr>
              <w:t>”表示该套餐中不包含此项），</w:t>
            </w:r>
            <w:r>
              <w:rPr>
                <w:rFonts w:ascii="仿宋_GB2312" w:hAnsi="仿宋_GB2312" w:cs="仿宋_GB2312" w:eastAsia="仿宋_GB2312"/>
                <w:sz w:val="21"/>
              </w:rPr>
              <w:t>根据体检人员需求可等价置换体检项目。</w:t>
            </w:r>
          </w:p>
          <w:tbl>
            <w:tblPr>
              <w:tblInd w:type="dxa" w:w="120"/>
              <w:tblBorders>
                <w:top w:val="none" w:color="000000" w:sz="4"/>
                <w:left w:val="none" w:color="000000" w:sz="4"/>
                <w:bottom w:val="none" w:color="000000" w:sz="4"/>
                <w:right w:val="none" w:color="000000" w:sz="4"/>
                <w:insideH w:val="none"/>
                <w:insideV w:val="none"/>
              </w:tblBorders>
            </w:tblPr>
            <w:tblGrid>
              <w:gridCol w:w="174"/>
              <w:gridCol w:w="279"/>
              <w:gridCol w:w="401"/>
              <w:gridCol w:w="210"/>
              <w:gridCol w:w="251"/>
              <w:gridCol w:w="267"/>
              <w:gridCol w:w="267"/>
            </w:tblGrid>
            <w:tr>
              <w:tc>
                <w:tcPr>
                  <w:tcW w:type="dxa" w:w="1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401"/>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项目说明</w:t>
                  </w:r>
                </w:p>
              </w:tc>
              <w:tc>
                <w:tcPr>
                  <w:tcW w:type="dxa" w:w="46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40岁</w:t>
                  </w:r>
                </w:p>
              </w:tc>
              <w:tc>
                <w:tcPr>
                  <w:tcW w:type="dxa" w:w="5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≥40岁</w:t>
                  </w:r>
                </w:p>
              </w:tc>
            </w:tr>
            <w:tr>
              <w:tc>
                <w:tcPr>
                  <w:tcW w:type="dxa" w:w="174"/>
                  <w:vMerge/>
                  <w:tcBorders>
                    <w:top w:val="single" w:color="000000" w:sz="4"/>
                    <w:left w:val="single" w:color="000000" w:sz="4"/>
                    <w:bottom w:val="single" w:color="000000" w:sz="4"/>
                    <w:right w:val="single" w:color="000000" w:sz="4"/>
                  </w:tcBorders>
                </w:tcPr>
                <w:p/>
              </w:tc>
              <w:tc>
                <w:tcPr>
                  <w:tcW w:type="dxa" w:w="279"/>
                  <w:vMerge/>
                  <w:tcBorders>
                    <w:top w:val="single" w:color="000000" w:sz="4"/>
                    <w:left w:val="none" w:color="000000" w:sz="4"/>
                    <w:bottom w:val="single" w:color="000000" w:sz="4"/>
                    <w:right w:val="single" w:color="000000" w:sz="4"/>
                  </w:tcBorders>
                </w:tcPr>
                <w:p/>
              </w:tc>
              <w:tc>
                <w:tcPr>
                  <w:tcW w:type="dxa" w:w="401"/>
                  <w:vMerge/>
                  <w:tcBorders>
                    <w:top w:val="single" w:color="000000" w:sz="4"/>
                    <w:left w:val="none" w:color="000000" w:sz="4"/>
                    <w:bottom w:val="single" w:color="000000" w:sz="4"/>
                    <w:right w:val="none" w:color="000000" w:sz="4"/>
                  </w:tcBorders>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男士</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女士</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男士</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女士</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一般检查</w:t>
                  </w:r>
                </w:p>
              </w:tc>
              <w:tc>
                <w:tcPr>
                  <w:tcW w:type="dxa" w:w="40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身高体重血压</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内科检查</w:t>
                  </w:r>
                </w:p>
              </w:tc>
              <w:tc>
                <w:tcPr>
                  <w:tcW w:type="dxa" w:w="40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肝胆胰脾触诊检查</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外科检查</w:t>
                  </w:r>
                </w:p>
              </w:tc>
              <w:tc>
                <w:tcPr>
                  <w:tcW w:type="dxa" w:w="40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甲状腺</w:t>
                  </w:r>
                  <w:r>
                    <w:rPr>
                      <w:rFonts w:ascii="仿宋_GB2312" w:hAnsi="仿宋_GB2312" w:cs="仿宋_GB2312" w:eastAsia="仿宋_GB2312"/>
                      <w:sz w:val="20"/>
                    </w:rPr>
                    <w:t>、浅表淋巴结、乳腺、脊柱、四肢关节的基础检查</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眼科检查</w:t>
                  </w:r>
                </w:p>
              </w:tc>
              <w:tc>
                <w:tcPr>
                  <w:tcW w:type="dxa" w:w="40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常用的视功能检查包括视觉心理物理学检查</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耳鼻喉检查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口咽鼻咽喉咽的检查</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妇科检查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包括腹部检查和盆腔检查</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血常规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了解是否存在感染、是否患有血液疾病，是多种疾病的辅助检查</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尿常规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检测人体的代谢状况，初步反映泌尿系统病变，简介反映全身代谢及循环等系统的功能状态</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肝功筛查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肝功八项，通过血液生化分析可反映目前肝细胞的新陈代谢状态，可筛查肝、胆功能异常、急（慢）性肝炎，黄疸性肝炎、肝硬化、肝癌、心肌炎、肾炎等脏器疾病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乙肝</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乙肝表面抗原、乙肝表面抗体、乙肝</w:t>
                  </w:r>
                  <w:r>
                    <w:rPr>
                      <w:rFonts w:ascii="仿宋_GB2312" w:hAnsi="仿宋_GB2312" w:cs="仿宋_GB2312" w:eastAsia="仿宋_GB2312"/>
                      <w:sz w:val="20"/>
                    </w:rPr>
                    <w:t>e抗原、乙肝e抗体、乙肝核心抗体IGG、乙肝核心抗体IGM可筛查是否感染乙肝病毒，是否产生乙肝抗体，是否应注射疫苗和注射疫苗的效果</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肾功筛查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测定肾功能中的肌酐测定和尿素测定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尿酸</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高尿酸血症、痛风等疾病。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血脂筛查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检测受检者血液中的血脂含量，评价受检者的血脂肪代谢水平（血清甘油三酯测定、血清总胆固醇测定、血清高密度脂蛋白胆固醇测定、血清低密度脂蛋白胆固醇测定）</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癌胚抗原（</w:t>
                  </w:r>
                  <w:r>
                    <w:rPr>
                      <w:rFonts w:ascii="仿宋_GB2312" w:hAnsi="仿宋_GB2312" w:cs="仿宋_GB2312" w:eastAsia="仿宋_GB2312"/>
                      <w:sz w:val="20"/>
                      <w:b/>
                    </w:rPr>
                    <w:t>CEA）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血液肿瘤标志物是判断胃肠道癌症诊断、疗效、预后及选择方案的有力依据及辅助建厂项目</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甲胎蛋白（</w:t>
                  </w:r>
                  <w:r>
                    <w:rPr>
                      <w:rFonts w:ascii="仿宋_GB2312" w:hAnsi="仿宋_GB2312" w:cs="仿宋_GB2312" w:eastAsia="仿宋_GB2312"/>
                      <w:sz w:val="20"/>
                      <w:b/>
                    </w:rPr>
                    <w:t>AFP）</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通过血液检查可筛查病毒性肝炎、肝癌、肝硬化等疾病，是肝癌标志物检查</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游离前列腺特异抗原</w:t>
                  </w:r>
                  <w:r>
                    <w:rPr>
                      <w:rFonts w:ascii="仿宋_GB2312" w:hAnsi="仿宋_GB2312" w:cs="仿宋_GB2312" w:eastAsia="仿宋_GB2312"/>
                      <w:sz w:val="20"/>
                      <w:b/>
                    </w:rPr>
                    <w:t>PSA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早期诊断和监测前列腺癌的重要指标之一，对前列腺炎及前列腺肥大的鉴别诊断也有一定意义。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糖类抗原</w:t>
                  </w:r>
                  <w:r>
                    <w:rPr>
                      <w:rFonts w:ascii="仿宋_GB2312" w:hAnsi="仿宋_GB2312" w:cs="仿宋_GB2312" w:eastAsia="仿宋_GB2312"/>
                      <w:sz w:val="20"/>
                      <w:b/>
                    </w:rPr>
                    <w:t>Ca125</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反映卵巢癌或者帮助诊断卵巢癌的很重要的临床指标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糖类抗原</w:t>
                  </w:r>
                  <w:r>
                    <w:rPr>
                      <w:rFonts w:ascii="仿宋_GB2312" w:hAnsi="仿宋_GB2312" w:cs="仿宋_GB2312" w:eastAsia="仿宋_GB2312"/>
                      <w:sz w:val="20"/>
                      <w:b/>
                    </w:rPr>
                    <w:t>Ca153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乳腺癌抗原</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糖类抗原</w:t>
                  </w:r>
                  <w:r>
                    <w:rPr>
                      <w:rFonts w:ascii="仿宋_GB2312" w:hAnsi="仿宋_GB2312" w:cs="仿宋_GB2312" w:eastAsia="仿宋_GB2312"/>
                      <w:sz w:val="20"/>
                      <w:b/>
                    </w:rPr>
                    <w:t>Ca199</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肿瘤标志物</w:t>
                  </w:r>
                  <w:r>
                    <w:rPr>
                      <w:rFonts w:ascii="仿宋_GB2312" w:hAnsi="仿宋_GB2312" w:cs="仿宋_GB2312" w:eastAsia="仿宋_GB2312"/>
                      <w:sz w:val="20"/>
                    </w:rPr>
                    <w:t>,筛查胰腺癌,肝、胆或者胃肠道肿瘤</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空腹血糖</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用于筛查、诊断及监测糖尿病、低血糖症等多种糖代谢异常相关疾病，反映了机体对葡萄糖的吸收、代谢是否正常</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同型半胱氨酸</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用于筛查是导致动脉粥样硬化、心脑血管病、癌症、老年性痴呆等多种疾病，对预测相关疾病的发病具有重要意义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C-反应蛋白测定</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以检查急性炎症反应和感染情况</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丙肝抗体</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筛查是否感染丙肝病毒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类风湿因子测定</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主要检查类风湿关节炎、系统性红斑狼疮、硬皮病、干燥综合征、肝炎</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心肌酶谱</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用来排查心脏相关疾病，如急性心肌梗死、心肌炎、心肌损伤等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电解质</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常量元素主要包括钙、氯、磷、钠、钾等元素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心电图</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了解受检者是否存在心律失常、心绞痛、心肌梗塞、冠心病、心室肥厚、心肌缺血、心脏传导阻滞等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胸部</w:t>
                  </w:r>
                  <w:r>
                    <w:rPr>
                      <w:rFonts w:ascii="仿宋_GB2312" w:hAnsi="仿宋_GB2312" w:cs="仿宋_GB2312" w:eastAsia="仿宋_GB2312"/>
                      <w:sz w:val="20"/>
                      <w:b/>
                    </w:rPr>
                    <w:t>CT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了解有无肺部炎症、结核、肿瘤、及心脏大血管疾病等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胸部</w:t>
                  </w:r>
                  <w:r>
                    <w:rPr>
                      <w:rFonts w:ascii="仿宋_GB2312" w:hAnsi="仿宋_GB2312" w:cs="仿宋_GB2312" w:eastAsia="仿宋_GB2312"/>
                      <w:sz w:val="20"/>
                      <w:b/>
                    </w:rPr>
                    <w:t>CT三维重建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用于检查胸部的病变，如肺部、纵隔、胸膜以及胸壁结构等方面。</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经颅多普勒</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排查颅内动脉狭窄和闭塞、颈动脉狭窄和闭塞、椎动脉狭窄和闭塞等疾病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甲状腺彩超</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对甲状腺进行声像学检查，能够发现清晰地观察到甲状腺肿物、结节、肿大、炎症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腹部彩超（无双肾）</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对人体腹腔内肝、胆、胰、脾等脏器进行声像学检查，可敏感地发现脏器大小、形态、边缘、实质回声以及血流的异常改变，为肿块的鉴别诊断提供影像依据</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男性（泌尿彩超）</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对泌尿系统进行声像学检查</w:t>
                  </w:r>
                  <w:r>
                    <w:rPr>
                      <w:rFonts w:ascii="仿宋_GB2312" w:hAnsi="仿宋_GB2312" w:cs="仿宋_GB2312" w:eastAsia="仿宋_GB2312"/>
                      <w:sz w:val="20"/>
                    </w:rPr>
                    <w:t>,可以了解肾脏、输尿管、膀胱的结构有无异常</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乳腺彩超</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对乳腺进行声像学检查，能够发现乳腺异常改变</w:t>
                  </w:r>
                  <w:r>
                    <w:rPr>
                      <w:rFonts w:ascii="仿宋_GB2312" w:hAnsi="仿宋_GB2312" w:cs="仿宋_GB2312" w:eastAsia="仿宋_GB2312"/>
                      <w:sz w:val="20"/>
                    </w:rPr>
                    <w:t>,尤其可以初步鉴别乳腺肿块的良恶性,发现早期乳腺癌</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女性（子宫、附件）</w:t>
                  </w:r>
                  <w:r>
                    <w:rPr>
                      <w:rFonts w:ascii="仿宋_GB2312" w:hAnsi="仿宋_GB2312" w:cs="仿宋_GB2312" w:eastAsia="仿宋_GB2312"/>
                      <w:sz w:val="20"/>
                      <w:b/>
                    </w:rPr>
                    <w:t>+双肾</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对子宫以及附件进行声像学检查，能观察子宫的发育情况以及子宫的常见疾病</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白带常规</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通过显微镜对阴道分泌物的检查</w:t>
                  </w:r>
                  <w:r>
                    <w:rPr>
                      <w:rFonts w:ascii="仿宋_GB2312" w:hAnsi="仿宋_GB2312" w:cs="仿宋_GB2312" w:eastAsia="仿宋_GB2312"/>
                      <w:sz w:val="20"/>
                    </w:rPr>
                    <w:t>,确定阴道清洁程度,寻找病原体，确定阴道炎症性质。</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妇科液基细胞学检查</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了解宫颈上皮是否存在病变</w:t>
                  </w:r>
                  <w:r>
                    <w:rPr>
                      <w:rFonts w:ascii="仿宋_GB2312" w:hAnsi="仿宋_GB2312" w:cs="仿宋_GB2312" w:eastAsia="仿宋_GB2312"/>
                      <w:sz w:val="20"/>
                    </w:rPr>
                    <w:t>,是宫颈癌筛查当中的一项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腰椎侧位拍片</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检查颈椎骨性畸形、椎体和棘突骨折、是否存在椎管狭窄</w:t>
                  </w:r>
                  <w:r>
                    <w:rPr>
                      <w:rFonts w:ascii="仿宋_GB2312" w:hAnsi="仿宋_GB2312" w:cs="仿宋_GB2312" w:eastAsia="仿宋_GB2312"/>
                      <w:sz w:val="20"/>
                    </w:rPr>
                    <w:t>、椎前软组织间隙是否增宽等</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碳</w:t>
                  </w:r>
                  <w:r>
                    <w:rPr>
                      <w:rFonts w:ascii="仿宋_GB2312" w:hAnsi="仿宋_GB2312" w:cs="仿宋_GB2312" w:eastAsia="仿宋_GB2312"/>
                      <w:sz w:val="20"/>
                      <w:b/>
                    </w:rPr>
                    <w:t>13尿素呼气试验</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诊断胃幽门螺杆菌感染的金标准，非侵入性且无放射性、无痛苦、安全、可靠、操作简单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pPr>
              <w:pStyle w:val="null3"/>
              <w:ind w:firstLine="210"/>
              <w:jc w:val="left"/>
            </w:pPr>
            <w:r>
              <w:rPr>
                <w:rFonts w:ascii="仿宋_GB2312" w:hAnsi="仿宋_GB2312" w:cs="仿宋_GB2312" w:eastAsia="仿宋_GB2312"/>
                <w:sz w:val="21"/>
              </w:rPr>
              <w:t>2.1.4服务、产品（如有）执行的标准、规范：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1）国家标准、规范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2）行业标准、规范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3）地方标准、规范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4）团体标准、规范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5）企业标准、规范</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2.1.5本章2.1.4条款未明确服务（产品）执行标准、规范的，按下列方法进行选择：</w:t>
            </w:r>
          </w:p>
          <w:p>
            <w:pPr>
              <w:pStyle w:val="null3"/>
              <w:ind w:firstLine="420"/>
              <w:jc w:val="left"/>
            </w:pPr>
            <w:r>
              <w:rPr>
                <w:rFonts w:ascii="仿宋_GB2312" w:hAnsi="仿宋_GB2312" w:cs="仿宋_GB2312" w:eastAsia="仿宋_GB2312"/>
                <w:sz w:val="21"/>
              </w:rPr>
              <w:t>□ 顺序执行：国家标准→行业标准→地方标准→团体标准→企业标准（有国家标准按国家标准执行，没有国家标准按行业标准，以此类推）；</w:t>
            </w:r>
          </w:p>
          <w:p>
            <w:pPr>
              <w:pStyle w:val="null3"/>
              <w:ind w:firstLine="420"/>
              <w:jc w:val="left"/>
            </w:pPr>
            <w:r>
              <w:rPr>
                <w:rFonts w:ascii="仿宋_GB2312" w:hAnsi="仿宋_GB2312" w:cs="仿宋_GB2312" w:eastAsia="仿宋_GB2312"/>
                <w:sz w:val="21"/>
              </w:rPr>
              <w:t>□ 最高标准执行：国家标准，行业标准，地方标准，团体标准，企业标准（那个标准高执行那个标准）</w:t>
            </w:r>
          </w:p>
          <w:p>
            <w:pPr>
              <w:pStyle w:val="null3"/>
              <w:ind w:firstLine="420"/>
              <w:jc w:val="left"/>
            </w:pPr>
            <w:r>
              <w:rPr>
                <w:rFonts w:ascii="仿宋_GB2312" w:hAnsi="仿宋_GB2312" w:cs="仿宋_GB2312" w:eastAsia="仿宋_GB2312"/>
                <w:sz w:val="21"/>
              </w:rPr>
              <w:t>√必须执行：国家（行业）强制性标准。</w:t>
            </w:r>
          </w:p>
          <w:p>
            <w:pPr>
              <w:pStyle w:val="null3"/>
              <w:jc w:val="left"/>
            </w:pPr>
            <w:r>
              <w:rPr>
                <w:rFonts w:ascii="仿宋_GB2312" w:hAnsi="仿宋_GB2312" w:cs="仿宋_GB2312" w:eastAsia="仿宋_GB2312"/>
                <w:sz w:val="21"/>
                <w:b/>
              </w:rPr>
              <w:t>2.2商务要求</w:t>
            </w:r>
          </w:p>
          <w:p>
            <w:pPr>
              <w:pStyle w:val="null3"/>
              <w:ind w:firstLine="422"/>
              <w:jc w:val="left"/>
            </w:pPr>
            <w:r>
              <w:rPr>
                <w:rFonts w:ascii="仿宋_GB2312" w:hAnsi="仿宋_GB2312" w:cs="仿宋_GB2312" w:eastAsia="仿宋_GB2312"/>
                <w:sz w:val="21"/>
                <w:b/>
              </w:rPr>
              <w:t>2.2.1带有★号的商务要求为实质性条款不得有偏差。</w:t>
            </w:r>
          </w:p>
          <w:p>
            <w:pPr>
              <w:pStyle w:val="null3"/>
            </w:pPr>
            <w:r>
              <w:rPr>
                <w:rFonts w:ascii="仿宋_GB2312" w:hAnsi="仿宋_GB2312" w:cs="仿宋_GB2312" w:eastAsia="仿宋_GB2312"/>
                <w:sz w:val="21"/>
                <w:b/>
              </w:rPr>
              <w:t>★2.2.2服务期限：</w:t>
            </w:r>
            <w:r>
              <w:rPr>
                <w:rFonts w:ascii="仿宋_GB2312" w:hAnsi="仿宋_GB2312" w:cs="仿宋_GB2312" w:eastAsia="仿宋_GB2312"/>
                <w:sz w:val="21"/>
                <w:b/>
              </w:rPr>
              <w:t>自合同签订后</w:t>
            </w:r>
            <w:r>
              <w:rPr>
                <w:rFonts w:ascii="仿宋_GB2312" w:hAnsi="仿宋_GB2312" w:cs="仿宋_GB2312" w:eastAsia="仿宋_GB2312"/>
                <w:sz w:val="21"/>
                <w:b/>
              </w:rPr>
              <w:t>120日历天</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达到国家（行业）强制性标准。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服务期结束后根据体检人数据实结算（多退少补）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供应商需在项目电子化交易系统中按要求填写《响应函》完成承诺进行电子签章,并按附件格式要求提供相关资格证明材料。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行政许可证</w:t>
            </w:r>
          </w:p>
        </w:tc>
        <w:tc>
          <w:tcPr>
            <w:tcW w:type="dxa" w:w="3322"/>
          </w:tcPr>
          <w:p>
            <w:pPr>
              <w:pStyle w:val="null3"/>
            </w:pPr>
            <w:r>
              <w:rPr>
                <w:rFonts w:ascii="仿宋_GB2312" w:hAnsi="仿宋_GB2312" w:cs="仿宋_GB2312" w:eastAsia="仿宋_GB2312"/>
              </w:rPr>
              <w:t>供应商应具有卫生行政部门核准登记取得的《医疗机构执业许可证》和《放射诊疗许可证》。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业绩证明材料 商务应答表 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业绩证明材料 商务应答表 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且报价不超过磋商文件规定的采购预算金额或最高限价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响应文件对付款、服务期限、合同条款等商务要求进行响应，完全响应计2分，负偏离每项扣1分，扣完为止。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供应商具有同类项目业绩，提供合同复印件或中标通知书加盖公章，每提供一份得2.5分，满分10分。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针对本项目提供体检报告及保密措施，包括但不限于①参检人员所有信息数据保密方案；②体检结果保密措施。 二、评审标准 1、完善性：方案必须全面，对评审内容中的各项要求有详细阐述； 2、可实施性：切合本项目实际情况，提出步骤清晰、合理的方案； 3、针对性：方案能够紧扣项目实际情况，内容科学合理。 三、赋分依据（满分12分） ①参检人员所有信息数据保密方案：完全满足评审标准得6分，每有一项不满足扣2分，扣完为止； ②体检结果保密措施：完全满足评审标准得6分，每有一项不满足扣2分，扣完为止。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一、评审内容 供应商可根据体检报告中出现的异常指标出具详细的①专业意见②治疗方案。 二、评审标准 1、完善性：方案必须全面，对评审内容中的各项要求有详细阐述； 2、可实施性：切合本项目实际情况，提出步骤清晰、合理的方案； 3、针对性：方案能够紧扣项目实际情况，内容科学合理。 三、赋分依据（满分12分） ①专业意见：完全满足评审标准得6分，每有一项不满足扣2分，扣完为止； ②治疗方案：完全满足评审标准得6分，每有一项不满足扣2分，扣完为止。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绿色就医通道</w:t>
            </w:r>
          </w:p>
        </w:tc>
        <w:tc>
          <w:tcPr>
            <w:tcW w:type="dxa" w:w="2492"/>
          </w:tcPr>
          <w:p>
            <w:pPr>
              <w:pStyle w:val="null3"/>
            </w:pPr>
            <w:r>
              <w:rPr>
                <w:rFonts w:ascii="仿宋_GB2312" w:hAnsi="仿宋_GB2312" w:cs="仿宋_GB2312" w:eastAsia="仿宋_GB2312"/>
              </w:rPr>
              <w:t>一、评审内容 供应商能够提供后续的绿色就医通道，必要时可提供导医导诊等需求，保障讲座及绿色就医服务。 二、评审标准 1、完善性：方案必须全面，对评审内容中的各项要求有详细阐述； 2、可实施性：切合本项目实际情况，提出步骤清晰、合理的方案； 3、针对性：方案能够紧扣项目实际情况，内容科学合理。 三、赋分依据（满分6分） 提供后续的绿色就医通道，必要时可提供导医导诊等需求，保障讲座及绿色就医服务：完全满足评审标准得6分，每有一项不满足扣2分，扣完为止。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为体检人员提供早餐、健康咨询等其他服务。 二、评审标准 1、完善性：方案必须全面，对评审内容中的各项要求有详细阐述； 2、可实施性：切合本项目实际情况，提出步骤清晰、合理的方案； 3、针对性：方案能够紧扣项目实际情况，内容科学合理。三、赋分依据（满分3分） 提供早餐、健康咨询等其他服务：完全满足评审标准得3分，每有一项不满足扣1分，扣完为止。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体检信息化服务</w:t>
            </w:r>
          </w:p>
        </w:tc>
        <w:tc>
          <w:tcPr>
            <w:tcW w:type="dxa" w:w="2492"/>
          </w:tcPr>
          <w:p>
            <w:pPr>
              <w:pStyle w:val="null3"/>
            </w:pPr>
            <w:r>
              <w:rPr>
                <w:rFonts w:ascii="仿宋_GB2312" w:hAnsi="仿宋_GB2312" w:cs="仿宋_GB2312" w:eastAsia="仿宋_GB2312"/>
              </w:rPr>
              <w:t>一、评审内容 在检前、检中、检后全程提供智能化的体检信息服务，如电子信息录入系统、智能导检系统、智能叫号系统、健康档案管理系统、在线查询体检报告等系统服务。 二、评审标准 1、完善性：方案必须全面，对评审内容中的各项要求有详细阐述； 2、可实施性：切合本项目实际情况，提出步骤清晰、合理的方案； 3、针对性：方案能够紧扣项目实际情况，内容科学合理。三、赋分依据（满分6分） 提供检前、检中、检后全程提供智能化的体检信息服务，如电子信息录入系统、智能导检系统、智能叫号系统、健康档案管理系统、在线查询体检报告等系统服务：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一、评审内容 供应商在本地有体检服务点，包括但不限于①具备独立的体检场所、具体地址、交通便利情况（公交或地铁换乘方便）、面积、环境；②体检中心设有独立的妇科检查区域，人性化的女性专属通道，查体男女分区等服务。 二、评审标准 1、完善性：方案必须全面，对评审内容中的各项要求有详细阐述； 2、可实施性：切合本项目实际情况，提出步骤清晰、合理的方案； 3、针对性：方案能够紧扣项目实际情况，内容科学合理。 三、赋分依据（满分12分） ①具备独立的体检场所、具体地址、交通便利情况（公交或地铁换乘方便）、面积、环境:完全满足评审标准得6分，每有一项不满足扣2分，扣完为止； ②体检中心设有独立的妇科检查区域，人性化的女性专属通道，查体男女分区等服务:完全满足评审标准得6分，每有一项不满足扣2分，扣完为止。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一、评审内容 供应商须提供在本项目实施过程中所必须的检测仪器、试剂耗材等设备设施清单。 二、评审标准 1、清单完善性：设备清单完善，对设备参数有详细阐述； 2、设备先进性：提供相关证明资料； 3、检测的准确性：提供相关证明资料。 三、赋分依据（满分9分） 提供在本项目实施过程中所必须的检测仪器、试剂耗材等设备设施清单：完全满足评审标准得9分，每有一项不满足扣3分，扣完为止。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供应商须提供针对本项目的应急处理措施及解决方案（包括体检者因血糖、血压引起的身体不适或其他的应对处理、供应商仪器故障或因其他人力不可抗拒因素，导致未能按时出具检测报告的补救措施等）。 二、评审标准 1、完善性：方案必须全面，对评审内容中的各项要求有详细阐述； 2、可实施性：切合本项目实际情况，提出步骤清晰、合理的方案； 3、针对性：方案能够紧扣项目实际情况，内容科学合理。 三、赋分依据（满分6分） 提供针对本项目的应急处理措施及解决方案（包括体检者因血糖、血压引起的身体不适或其他的应对处理、供应商仪器故障或因其他人力不可抗拒因素，导致未能按时出具检测报告的补救措施等）: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针对本项目提供专业的服务团队①人员岗位设置提供体检医生组成情况简介(在职证明、执业资格证、职称等证明材料)；②人员专业能力（检查团队中级及以上专业技术职务任职资格的职业医师或技师配备充足）。 二、评审标准 1、完善性：方案必须全面，对评审内容中的各项要求有详细阐述； 2、可实施性：切合本项目实际情况，提出步骤清晰、合理的方案； 3、针对性：方案能够紧扣项目实际情况，内容科学合理。 三、赋分依据（满分12分） ①人员岗位设置提供体检医生组成情况简介(在职证明、执业资格证、职称等证明材料):完全满足评审标准得6分，每有一项不满足扣2分，扣完为止； ②人员专业能力（检查团队中级及以上专业技术职务任职资格的职业医师或技师配备充足）:完全满足评审标准得6分，每有一项不满足扣2分，扣完为止。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