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版本号：SXZHZC2025-CS20720250326001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配备供配电设施建设项目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SXZHZC2025-CS207</w:t>
      </w:r>
      <w:r>
        <w:br/>
      </w:r>
      <w:r>
        <w:br/>
      </w:r>
      <w:r>
        <w:br/>
      </w:r>
    </w:p>
    <w:p>
      <w:pPr>
        <w:pStyle w:val="null3"/>
        <w:jc w:val="center"/>
        <w:outlineLvl w:val="2"/>
      </w:pPr>
      <w:r>
        <w:rPr>
          <w:rFonts w:ascii="仿宋_GB2312" w:hAnsi="仿宋_GB2312" w:cs="仿宋_GB2312" w:eastAsia="仿宋_GB2312"/>
          <w:sz w:val="28"/>
          <w:b/>
        </w:rPr>
        <w:t>西安市经开第八中学</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西安市经开第八中学</w:t>
      </w:r>
      <w:r>
        <w:rPr>
          <w:rFonts w:ascii="仿宋_GB2312" w:hAnsi="仿宋_GB2312" w:cs="仿宋_GB2312" w:eastAsia="仿宋_GB2312"/>
        </w:rPr>
        <w:t>委托，拟对</w:t>
      </w:r>
      <w:r>
        <w:rPr>
          <w:rFonts w:ascii="仿宋_GB2312" w:hAnsi="仿宋_GB2312" w:cs="仿宋_GB2312" w:eastAsia="仿宋_GB2312"/>
        </w:rPr>
        <w:t>配备供配电设施建设项目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SXZHZC2025-CS207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配备供配电设施建设项目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主要涉及拆除原有1250kVA箱变及基础并新建SCB13-1250kVA箱变一座,利旧原有800kVA箱变一座等其他配套实施内容。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采购包1（西安市经开第八中学配备供配电设施建设项目）：属于专门面向中小企业采购。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2、供应商资质要求：供应商具有电力工程施工总承包三级及以上资质或输变电专业工程承包三级及以上资质，具有有效的安全生产许可证；且具备承装、承修、承试五级及以上承装（修、试）电力设施许可证</w:t>
      </w:r>
    </w:p>
    <w:p>
      <w:pPr>
        <w:pStyle w:val="null3"/>
      </w:pPr>
      <w:r>
        <w:rPr>
          <w:rFonts w:ascii="仿宋_GB2312" w:hAnsi="仿宋_GB2312" w:cs="仿宋_GB2312" w:eastAsia="仿宋_GB2312"/>
        </w:rPr>
        <w:t>3、拟派项目经理资质要求：拟派项目经理须具备机电工程专业二级及以上建造师资格，具备有效的安全生产考核合格证（建安B证），在本单位注册且无在建项目（提供承诺书）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西安市经开第八中学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西安市高陵区泾勤路中段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13759984395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采购包1：1,315,182.15元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执行。成交供应商在领取成交通知书前，须向采购代理机构一次性支付招标代理服务费。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西安市经开第八中学</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西安市经开第八中学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西安市经开第八中学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联系人：赵钰</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1,315,182.15</w:t>
      </w:r>
    </w:p>
    <w:p>
      <w:pPr>
        <w:pStyle w:val="null3"/>
      </w:pPr>
      <w:r>
        <w:rPr>
          <w:rFonts w:ascii="仿宋_GB2312" w:hAnsi="仿宋_GB2312" w:cs="仿宋_GB2312" w:eastAsia="仿宋_GB2312"/>
        </w:rPr>
        <w:t>采购包最高限价（元）: 1,315,182.15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西安市经开第八中学配备供配电设施建设项目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1,315,182.15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标的名称：西安市经开第八中学配备供配电设施建设项目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项目内容</w:t>
            </w:r>
          </w:p>
        </w:tc>
        <w:tc>
          <w:tcPr>
            <w:tcW w:type="dxa" w:w="2076"/>
          </w:tcPr>
          <w:p>
            <w:pPr>
              <w:pStyle w:val="null3"/>
              <w:jc w:val="both"/>
            </w:pPr>
            <w:r>
              <w:rPr>
                <w:rFonts w:ascii="仿宋_GB2312" w:hAnsi="仿宋_GB2312" w:cs="仿宋_GB2312" w:eastAsia="仿宋_GB2312"/>
                <w:sz w:val="21"/>
              </w:rPr>
              <w:t>2台厢式变压器及供配电附属设施</w:t>
            </w:r>
            <w:r>
              <w:rPr>
                <w:rFonts w:ascii="仿宋_GB2312" w:hAnsi="仿宋_GB2312" w:cs="仿宋_GB2312" w:eastAsia="仿宋_GB2312"/>
                <w:sz w:val="21"/>
              </w:rPr>
              <w:t>的</w:t>
            </w:r>
            <w:r>
              <w:rPr>
                <w:rFonts w:ascii="仿宋_GB2312" w:hAnsi="仿宋_GB2312" w:cs="仿宋_GB2312" w:eastAsia="仿宋_GB2312"/>
                <w:sz w:val="21"/>
              </w:rPr>
              <w:t>拆除安装等，</w:t>
            </w:r>
            <w:r>
              <w:rPr>
                <w:rFonts w:ascii="仿宋_GB2312" w:hAnsi="仿宋_GB2312" w:cs="仿宋_GB2312" w:eastAsia="仿宋_GB2312"/>
                <w:sz w:val="21"/>
              </w:rPr>
              <w:t>工程量清单</w:t>
            </w:r>
            <w:r>
              <w:rPr>
                <w:rFonts w:ascii="仿宋_GB2312" w:hAnsi="仿宋_GB2312" w:cs="仿宋_GB2312" w:eastAsia="仿宋_GB2312"/>
                <w:sz w:val="21"/>
              </w:rPr>
              <w:t>及图纸</w:t>
            </w:r>
            <w:r>
              <w:rPr>
                <w:rFonts w:ascii="仿宋_GB2312" w:hAnsi="仿宋_GB2312" w:cs="仿宋_GB2312" w:eastAsia="仿宋_GB2312"/>
                <w:sz w:val="21"/>
              </w:rPr>
              <w:t>详见附件</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工期</w:t>
            </w:r>
          </w:p>
        </w:tc>
        <w:tc>
          <w:tcPr>
            <w:tcW w:type="dxa" w:w="2076"/>
          </w:tcPr>
          <w:p>
            <w:pPr>
              <w:pStyle w:val="null3"/>
              <w:jc w:val="both"/>
            </w:pPr>
            <w:r>
              <w:rPr>
                <w:rFonts w:ascii="仿宋_GB2312" w:hAnsi="仿宋_GB2312" w:cs="仿宋_GB2312" w:eastAsia="仿宋_GB2312"/>
                <w:sz w:val="21"/>
              </w:rPr>
              <w:t>自进场之日起</w:t>
            </w:r>
            <w:r>
              <w:rPr>
                <w:rFonts w:ascii="仿宋_GB2312" w:hAnsi="仿宋_GB2312" w:cs="仿宋_GB2312" w:eastAsia="仿宋_GB2312"/>
                <w:sz w:val="21"/>
              </w:rPr>
              <w:t>两个月</w:t>
            </w:r>
            <w:r>
              <w:rPr>
                <w:rFonts w:ascii="仿宋_GB2312" w:hAnsi="仿宋_GB2312" w:cs="仿宋_GB2312" w:eastAsia="仿宋_GB2312"/>
                <w:sz w:val="21"/>
              </w:rPr>
              <w:t>内竣工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 3、本项目图纸与工程量清单不一致时以图纸为准。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2.财务状况报告：提供2023年度或2024年度经审计的财务报告（包括审计报告、资产负债表、利润表、现金流量表、所有者权益变动表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 3.社会保障资金缴纳证明：提供响应文件递交截止时间前六个月内已缴存的至少一个月的社会保障资金缴纳凭证或证明，依法不需要缴纳社会保障资金的单位应提供相关证明材料； 4.税收缴纳证明：提供响应文件递交截止时间前六个月内已缴纳的至少一个月的纳税证明或完税证明，依法免税的单位应提供相关证明材料； 5.提供具有履行本合同所必需的设备和专业技术能力的声明；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供应商需在项目电子化交易系统中上传经审计2023年度或2024年度经审计的财务报告（包括审计报告、资产负债表、利润表、现金流量表、所有者权益变动表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供应商具有电力工程施工总承包三级及以上资质或输变电专业工程承包三级及以上资质，具有有效的安全生产许可证；且具备承装、承修、承试五级及以上承装（修、试）电力设施许可证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拟派项目经理须具备机电工程专业二级及以上建造师资格，具备有效的安全生产考核合格证（建安B证），在本单位注册且无在建项目（提供承诺书）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有可能影响工程质量或者不能诚信履约的，碰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已标价工程量清单 中小企业声明函 技术和商务偏离表 响应文件封面 资格证明文件 业绩证明材料 残疾人福利性单位声明函 报价函 服务方案 标的清单 陕西省政府采购供应商拒绝政府采购领域商业贿赂承诺书 合同条款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已标价工程量清单 中小企业声明函 技术和商务偏离表 响应文件封面 资格证明文件 业绩证明材料 残疾人福利性单位声明函 报价函 服务方案 标的清单 陕西省政府采购供应商拒绝政府采购领域商业贿赂承诺书 合同条款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技术和商务偏离表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供应商针对本项目拆除安装施工等方面提供方案，方案完善、合理可行，有针对性计6分，未提供不得分。评审内容有缺陷（缺陷是指：内容不够完善具体，可行性不强，与项目特点不匹配、套用其他项目方案、存在不可能实现的夸大情形、存在不适用项目实际情况的情形或只有标题没有实质性内容）扣0.1-5.9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项目管理机构及项目经理部组成</w:t>
            </w:r>
          </w:p>
        </w:tc>
        <w:tc>
          <w:tcPr>
            <w:tcW w:type="dxa" w:w="2492"/>
          </w:tcPr>
          <w:p>
            <w:pPr>
              <w:pStyle w:val="null3"/>
            </w:pPr>
            <w:r>
              <w:rPr>
                <w:rFonts w:ascii="仿宋_GB2312" w:hAnsi="仿宋_GB2312" w:cs="仿宋_GB2312" w:eastAsia="仿宋_GB2312"/>
              </w:rPr>
              <w:t>评审内容：①项目管理机构②项目经理部组成 评审标准：以上内容切合本项目实际情况及实施要求，内容与要点相符、每个要点均有展开详细的阐述且能够适用于本项目的得8分；评审内容任意一项缺项扣4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扣0.1-3.9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评审内容：①确保文明施工的技术措施②环境保护措施：以上内容切合本项目实际情况及实施要求，内容与要点相符、每个要点均有展开详细的阐述且能够适用于本项目的得8分；评审内容任意一项缺项扣4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扣0.1-3.9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劳动力计划及主要材料供应计划</w:t>
            </w:r>
          </w:p>
        </w:tc>
        <w:tc>
          <w:tcPr>
            <w:tcW w:type="dxa" w:w="2492"/>
          </w:tcPr>
          <w:p>
            <w:pPr>
              <w:pStyle w:val="null3"/>
            </w:pPr>
            <w:r>
              <w:rPr>
                <w:rFonts w:ascii="仿宋_GB2312" w:hAnsi="仿宋_GB2312" w:cs="仿宋_GB2312" w:eastAsia="仿宋_GB2312"/>
              </w:rPr>
              <w:t>评审内容：①劳动力计划②主要材料供应计划：以上内容切合本项目实际情况及实施要求，内容与要点相符、每个要点均有展开详细的阐述且能够适用于本项目的得8分；评审内容任意一项缺项扣4分； 评审内容有缺陷（缺陷是指：劳动力计划安排不合理、主要材料供应计划不满足项目需求、与项目特点不匹配、套用其他项目方案、存在不可能实现的夸大情形、存在不适用项目实际情况的情形或只有标题没有实质性内容）扣0.1-3.9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施工机械设备配备计划</w:t>
            </w:r>
          </w:p>
        </w:tc>
        <w:tc>
          <w:tcPr>
            <w:tcW w:type="dxa" w:w="2492"/>
          </w:tcPr>
          <w:p>
            <w:pPr>
              <w:pStyle w:val="null3"/>
            </w:pPr>
            <w:r>
              <w:rPr>
                <w:rFonts w:ascii="仿宋_GB2312" w:hAnsi="仿宋_GB2312" w:cs="仿宋_GB2312" w:eastAsia="仿宋_GB2312"/>
              </w:rPr>
              <w:t>评审内容：施工机械设备配备计划，切合本项目实际情况，方案详细有针对性得5分；未提供施工机械设备配备计划不得分。评审内容有缺陷（缺陷是指：施工机械设备配备不合理、施工机械配备与项目特点不匹配、套用其他项目方案、存在不可能实现的夸大情形、存在不适用项目实际情况的情形或只有标题没有实质性内容）扣0.1-4.9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施工进度计划及确保工期的技术措施</w:t>
            </w:r>
          </w:p>
        </w:tc>
        <w:tc>
          <w:tcPr>
            <w:tcW w:type="dxa" w:w="2492"/>
          </w:tcPr>
          <w:p>
            <w:pPr>
              <w:pStyle w:val="null3"/>
            </w:pPr>
            <w:r>
              <w:rPr>
                <w:rFonts w:ascii="仿宋_GB2312" w:hAnsi="仿宋_GB2312" w:cs="仿宋_GB2312" w:eastAsia="仿宋_GB2312"/>
              </w:rPr>
              <w:t>评审内容：①施工进度计划②确保工期的技术措施：以上内容切合本项目实际情况及实施要求，内容与要点相符、每个要点均有展开详细的阐述且能够适用于本项目的得8分；评审内容任意一项缺项扣4分； 评审内容有缺陷（缺陷是指：进度计划安排不合理、措施内容简单、与项目特点不匹配、套用其他项目方案、存在不可能实现的夸大情形、存在不适用项目实际情况的情形或只有标题没有实质性内容）扣0.1-3.9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确保安全生产的技术组织措施及应急预案</w:t>
            </w:r>
          </w:p>
        </w:tc>
        <w:tc>
          <w:tcPr>
            <w:tcW w:type="dxa" w:w="2492"/>
          </w:tcPr>
          <w:p>
            <w:pPr>
              <w:pStyle w:val="null3"/>
            </w:pPr>
            <w:r>
              <w:rPr>
                <w:rFonts w:ascii="仿宋_GB2312" w:hAnsi="仿宋_GB2312" w:cs="仿宋_GB2312" w:eastAsia="仿宋_GB2312"/>
              </w:rPr>
              <w:t>评审内容：①确保安全生产的技术组织措施②应急预案：以上内容切合本项目实际情况及实施要求，内容与要点相符、每个要点均有展开详细的阐述且能够适用于本项目的得8分；评审内容任意一项缺项扣4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扣0.1-3.9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投入材料质量承诺；②保修期承诺：以上内容符合本项目实际情况及实施要求，内容与要点相符，能够适用于本项目的得6分；评审内容任意一项缺项或只有标题没有实质性内容扣3分，扣完为止；评审内容有缺陷（缺陷是指：内容粗略、逻辑混乱、描述过于简单、与项目特点不匹配、凭空编造、逻辑漏洞、出现常识性错误、套用其他项目方案、存在不可能实现的夸大情形或存在不适用项目实际情况的情形）扣0.1-2.9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工程质量的保障措施及承诺</w:t>
            </w:r>
          </w:p>
        </w:tc>
        <w:tc>
          <w:tcPr>
            <w:tcW w:type="dxa" w:w="2492"/>
          </w:tcPr>
          <w:p>
            <w:pPr>
              <w:pStyle w:val="null3"/>
            </w:pPr>
            <w:r>
              <w:rPr>
                <w:rFonts w:ascii="仿宋_GB2312" w:hAnsi="仿宋_GB2312" w:cs="仿宋_GB2312" w:eastAsia="仿宋_GB2312"/>
              </w:rPr>
              <w:t>评审内容：①工程质量保障措施；②工程质量相关承诺：以上内容符合本项目实际情况及实施要求，内容与要点相符、每个要点均有展开详细的阐述且能够适用于本项目的得8分；评审内容任意一项缺项或只有标题没有实质性内容扣4分，扣完为止；评审内容有缺陷（缺陷是指：内容粗略、逻辑混乱、描述过于简单、与项目特点不匹配、凭空编造、逻辑漏洞、出现常识性错误、套用其他项目方案、存在不可能实现的夸大情形或存在不适用项目实际情况的情形）扣0.1-3.9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供应商2022年1月至今类似项目业绩；每提供1份计1分，最高得5分。业绩证明（以合同或中标/成交通知书为准，须在磋商响应文件中附以上证明材料的扫描件加盖单位公章。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详见附件：合同条款</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