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版本号：SXZHZC2025-CS17820250326001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SXZHZC2025-CS178</w:t>
      </w:r>
      <w:r>
        <w:br/>
      </w:r>
      <w:r>
        <w:br/>
      </w:r>
      <w:r>
        <w:br/>
      </w:r>
    </w:p>
    <w:p>
      <w:pPr>
        <w:pStyle w:val="null3"/>
        <w:jc w:val="center"/>
        <w:outlineLvl w:val="2"/>
      </w:pPr>
      <w:r>
        <w:rPr>
          <w:rFonts w:ascii="仿宋_GB2312" w:hAnsi="仿宋_GB2312" w:cs="仿宋_GB2312" w:eastAsia="仿宋_GB2312"/>
          <w:sz w:val="28"/>
          <w:b/>
        </w:rPr>
        <w:t>西安市经开第十学校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西安市经开第十学校</w:t>
      </w:r>
      <w:r>
        <w:rPr>
          <w:rFonts w:ascii="仿宋_GB2312" w:hAnsi="仿宋_GB2312" w:cs="仿宋_GB2312" w:eastAsia="仿宋_GB2312"/>
        </w:rPr>
        <w:t>委托，拟对</w:t>
      </w:r>
      <w:r>
        <w:rPr>
          <w:rFonts w:ascii="仿宋_GB2312" w:hAnsi="仿宋_GB2312" w:cs="仿宋_GB2312" w:eastAsia="仿宋_GB2312"/>
        </w:rPr>
        <w:t>校园文化建设项目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SXZHZC2025-CS178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行政楼、综合楼(一楼、二楼大厅、党建室、会议室)教学楼(教学楼A、教学楼B、教学楼C、走廊及五层主题文化墙、人物展板、阅读书架、阅读角、南北楼梯及标准教室班级内部的文化展示及学校户外标识、定制操场围墙标识和广场宣传栏)文化建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2、供应商资质要求：供应商须具备建筑装修装饰工程专业承包二级及以上资质，且具有有效的安全生产许可证。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3、拟派项目负责人资质和专业要求：拟派项目负责人具备建筑工程专业二级或以上注册建造师证书和安全生产考核合格证（B证）在本单位注册，无不良记录，且无在建项目（提供承诺书）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西安市未央区凤城十路118号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西安市经开第十学校经办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17802922732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采购包1：1,928,100.79元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西安市经开第十学校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西安市经开第十学校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1,928,100.79</w:t>
      </w:r>
    </w:p>
    <w:p>
      <w:pPr>
        <w:pStyle w:val="null3"/>
      </w:pPr>
      <w:r>
        <w:rPr>
          <w:rFonts w:ascii="仿宋_GB2312" w:hAnsi="仿宋_GB2312" w:cs="仿宋_GB2312" w:eastAsia="仿宋_GB2312"/>
        </w:rPr>
        <w:t>采购包最高限价（元）: 1,928,100.79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校园文化建设项目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1,928,100.79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标的名称：校园文化建设项目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sz w:val="24"/>
                <w:color w:val="2E75B5"/>
              </w:rPr>
              <w:t>详见</w:t>
            </w:r>
            <w:r>
              <w:rPr>
                <w:rFonts w:ascii="仿宋_GB2312" w:hAnsi="仿宋_GB2312" w:cs="仿宋_GB2312" w:eastAsia="仿宋_GB2312"/>
                <w:sz w:val="24"/>
                <w:color w:val="2E75B5"/>
              </w:rPr>
              <w:t>工程量清单</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4"/>
                <w:color w:val="2E75B5"/>
              </w:rPr>
              <w:t>自合同签订之日起</w:t>
            </w:r>
            <w:r>
              <w:rPr>
                <w:rFonts w:ascii="仿宋_GB2312" w:hAnsi="仿宋_GB2312" w:cs="仿宋_GB2312" w:eastAsia="仿宋_GB2312"/>
                <w:sz w:val="24"/>
                <w:color w:val="2E75B5"/>
              </w:rPr>
              <w:t>30</w:t>
            </w:r>
            <w:r>
              <w:rPr>
                <w:rFonts w:ascii="仿宋_GB2312" w:hAnsi="仿宋_GB2312" w:cs="仿宋_GB2312" w:eastAsia="仿宋_GB2312"/>
                <w:sz w:val="24"/>
                <w:color w:val="2E75B5"/>
              </w:rPr>
              <w:t>日历天</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报告要求</w:t>
            </w:r>
          </w:p>
        </w:tc>
        <w:tc>
          <w:tcPr>
            <w:tcW w:type="dxa" w:w="2076"/>
          </w:tcPr>
          <w:p>
            <w:pPr>
              <w:pStyle w:val="null3"/>
              <w:jc w:val="both"/>
            </w:pPr>
            <w:r>
              <w:rPr>
                <w:rFonts w:ascii="仿宋_GB2312" w:hAnsi="仿宋_GB2312" w:cs="仿宋_GB2312" w:eastAsia="仿宋_GB2312"/>
                <w:sz w:val="24"/>
                <w:color w:val="2E75B5"/>
              </w:rPr>
              <w:t>工程结束后出具环境检测报告</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拟派项目负责人具备建筑工程专业二级或以上注册建造师证书和安全生产考核合格证（B证）在本单位注册，无不良记录，且无在建项目（提供承诺书）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未提供施工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-5.9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6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6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评审标准：以上内容切合本项目实际情况及实施要求，内容与要点相符、每个要点均有展开详细的阐述且能够适用于本项目的得8分；评审内容任意一项缺项扣4分； 评审内容有缺陷（缺陷是指：劳动力计划安排不合理、主要材料供应计划不满足项目需求、与项目特点不匹配、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5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5分；未提供措施方案不得分。评审内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评审标准：以上内容切合本项目实际情况及实施要求，内容与要点相符、每个要点均有展开详细的阐述且能够适用于本项目的得10分；评审内容任意一项缺项扣5分； 评审内容有缺陷（缺陷是指：进度计划安排不合理、措施内容简单、与项目特点不匹配、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5分；未提供措施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0.1-4.9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评审标准：以上内容与要点相符、每个要点均有展开详细的阐述且能够适用于本项目的得6分； 评审内容任意一项缺项扣3分；评审内容有缺陷（缺陷是指：内容简单、与项目特点不匹配、套用其他项目相关内容或存在不适用项目实际情况的情形）扣0.1-2.9分。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