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版本号：SXZHZC2025-CS222.20250410001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西安市公安局经开分局刑侦大队软件项目(二次)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SXZHZC2025-CS222.</w:t>
      </w:r>
      <w:r>
        <w:br/>
      </w:r>
      <w:r>
        <w:br/>
      </w:r>
      <w:r>
        <w:br/>
      </w:r>
    </w:p>
    <w:p>
      <w:pPr>
        <w:pStyle w:val="null3"/>
        <w:jc w:val="center"/>
        <w:outlineLvl w:val="2"/>
      </w:pPr>
      <w:r>
        <w:rPr>
          <w:rFonts w:ascii="仿宋_GB2312" w:hAnsi="仿宋_GB2312" w:cs="仿宋_GB2312" w:eastAsia="仿宋_GB2312"/>
          <w:sz w:val="28"/>
          <w:b/>
        </w:rPr>
        <w:t>西安市公安局经济技术开发区分局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西安市公安局经济技术开发区分局</w:t>
      </w:r>
      <w:r>
        <w:rPr>
          <w:rFonts w:ascii="仿宋_GB2312" w:hAnsi="仿宋_GB2312" w:cs="仿宋_GB2312" w:eastAsia="仿宋_GB2312"/>
        </w:rPr>
        <w:t>委托，拟对</w:t>
      </w:r>
      <w:r>
        <w:rPr>
          <w:rFonts w:ascii="仿宋_GB2312" w:hAnsi="仿宋_GB2312" w:cs="仿宋_GB2312" w:eastAsia="仿宋_GB2312"/>
        </w:rPr>
        <w:t>西安市公安局经开分局刑侦大队软件项目(二次)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西安市公安局经开分局刑侦大队软件项目(二次)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西安市公安局经开分局刑侦大队软件项目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采购包1（西安市公安局经开分局刑侦大队软件项目）：属于专门面向中小企业采购。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西安市公安局经济技术开发区分局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陕西省西安市市本级陕西省西安市经济技术开发区明光路205号明丰伯马都1幢1单元10909室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代理服务费收费标准：定额收费：人民币捌仟元整（¥8000.00元）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西安市公安局经济技术开发区分局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西安市公安局经济技术开发区分局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西安市公安局经济技术开发区分局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西安市公安局经开分局刑侦大队软件项目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426,000.00</w:t>
      </w:r>
    </w:p>
    <w:p>
      <w:pPr>
        <w:pStyle w:val="null3"/>
      </w:pPr>
      <w:r>
        <w:rPr>
          <w:rFonts w:ascii="仿宋_GB2312" w:hAnsi="仿宋_GB2312" w:cs="仿宋_GB2312" w:eastAsia="仿宋_GB2312"/>
        </w:rPr>
        <w:t>采购包最高限价（元）: 426,000.00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西安市公安局经开分局刑侦大队软件项目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标的名称：西安市公安局经开分局刑侦大队软件项目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载体软件部署与开通授权</w:t>
            </w:r>
          </w:p>
        </w:tc>
        <w:tc>
          <w:tcPr>
            <w:tcW w:type="dxa" w:w="2076"/>
          </w:tcPr>
          <w:p>
            <w:pPr>
              <w:pStyle w:val="null3"/>
              <w:jc w:val="both"/>
            </w:pPr>
            <w:r>
              <w:rPr>
                <w:rFonts w:ascii="仿宋_GB2312" w:hAnsi="仿宋_GB2312" w:cs="仿宋_GB2312" w:eastAsia="仿宋_GB2312"/>
                <w:sz w:val="18"/>
                <w:color w:val="000000"/>
              </w:rPr>
              <w:t>载体软件在采购人指定电脑上完成部署，并开通授权(授权需包含分局授权1个，派出所授权4个）。</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反诈资金分析服务</w:t>
            </w:r>
          </w:p>
        </w:tc>
        <w:tc>
          <w:tcPr>
            <w:tcW w:type="dxa" w:w="2076"/>
          </w:tcPr>
          <w:p>
            <w:pPr>
              <w:pStyle w:val="null3"/>
              <w:spacing w:before="75" w:after="75"/>
              <w:jc w:val="left"/>
            </w:pPr>
            <w:r>
              <w:rPr>
                <w:rFonts w:ascii="仿宋_GB2312" w:hAnsi="仿宋_GB2312" w:cs="仿宋_GB2312" w:eastAsia="仿宋_GB2312"/>
                <w:color w:val="000000"/>
              </w:rPr>
              <w:t>1、</w:t>
            </w:r>
            <w:r>
              <w:rPr>
                <w:rFonts w:ascii="仿宋_GB2312" w:hAnsi="仿宋_GB2312" w:cs="仿宋_GB2312" w:eastAsia="仿宋_GB2312"/>
                <w:color w:val="000000"/>
              </w:rPr>
              <w:t>平台管理服务</w:t>
            </w:r>
            <w:r>
              <w:rPr>
                <w:rFonts w:ascii="仿宋_GB2312" w:hAnsi="仿宋_GB2312" w:cs="仿宋_GB2312" w:eastAsia="仿宋_GB2312"/>
                <w:color w:val="000000"/>
              </w:rPr>
              <w:t>：</w:t>
            </w:r>
            <w:r>
              <w:rPr>
                <w:rFonts w:ascii="仿宋_GB2312" w:hAnsi="仿宋_GB2312" w:cs="仿宋_GB2312" w:eastAsia="仿宋_GB2312"/>
                <w:color w:val="000000"/>
              </w:rPr>
              <w:t>系统服务平台应包含可在单机电脑部署运行的系统平台，无需网络可随时开展数据分析工作。</w:t>
            </w:r>
          </w:p>
          <w:p>
            <w:pPr>
              <w:pStyle w:val="null3"/>
              <w:spacing w:before="75" w:after="75"/>
              <w:jc w:val="left"/>
            </w:pPr>
            <w:r>
              <w:rPr>
                <w:rFonts w:ascii="仿宋_GB2312" w:hAnsi="仿宋_GB2312" w:cs="仿宋_GB2312" w:eastAsia="仿宋_GB2312"/>
                <w:color w:val="000000"/>
              </w:rPr>
              <w:t>2、</w:t>
            </w:r>
            <w:r>
              <w:rPr>
                <w:rFonts w:ascii="仿宋_GB2312" w:hAnsi="仿宋_GB2312" w:cs="仿宋_GB2312" w:eastAsia="仿宋_GB2312"/>
                <w:color w:val="000000"/>
              </w:rPr>
              <w:t>数据治理</w:t>
            </w:r>
            <w:r>
              <w:rPr>
                <w:rFonts w:ascii="仿宋_GB2312" w:hAnsi="仿宋_GB2312" w:cs="仿宋_GB2312" w:eastAsia="仿宋_GB2312"/>
                <w:color w:val="000000"/>
              </w:rPr>
              <w:t>：</w:t>
            </w:r>
          </w:p>
          <w:p>
            <w:pPr>
              <w:pStyle w:val="null3"/>
              <w:spacing w:before="75" w:after="75"/>
              <w:jc w:val="left"/>
            </w:pPr>
            <w:r>
              <w:rPr>
                <w:rFonts w:ascii="仿宋_GB2312" w:hAnsi="仿宋_GB2312" w:cs="仿宋_GB2312" w:eastAsia="仿宋_GB2312"/>
                <w:color w:val="000000"/>
              </w:rPr>
              <w:t>1）可支持批量读取处理Excel和CSV格式的银行流水及三方流水资金数据</w:t>
            </w:r>
            <w:r>
              <w:rPr>
                <w:rFonts w:ascii="仿宋_GB2312" w:hAnsi="仿宋_GB2312" w:cs="仿宋_GB2312" w:eastAsia="仿宋_GB2312"/>
                <w:color w:val="000000"/>
              </w:rPr>
              <w:t>，</w:t>
            </w:r>
            <w:r>
              <w:rPr>
                <w:rFonts w:ascii="仿宋_GB2312" w:hAnsi="仿宋_GB2312" w:cs="仿宋_GB2312" w:eastAsia="仿宋_GB2312"/>
                <w:color w:val="000000"/>
              </w:rPr>
              <w:t>可支持压缩包的方式上传数据</w:t>
            </w:r>
            <w:r>
              <w:rPr>
                <w:rFonts w:ascii="仿宋_GB2312" w:hAnsi="仿宋_GB2312" w:cs="仿宋_GB2312" w:eastAsia="仿宋_GB2312"/>
                <w:color w:val="000000"/>
              </w:rPr>
              <w:t>。</w:t>
            </w:r>
          </w:p>
          <w:p>
            <w:pPr>
              <w:pStyle w:val="null3"/>
              <w:spacing w:before="75" w:after="75"/>
              <w:jc w:val="left"/>
            </w:pPr>
            <w:r>
              <w:rPr>
                <w:rFonts w:ascii="仿宋_GB2312" w:hAnsi="仿宋_GB2312" w:cs="仿宋_GB2312" w:eastAsia="仿宋_GB2312"/>
                <w:color w:val="000000"/>
              </w:rPr>
              <w:t>2）智能数据清洗：自动清洗数据信息并提取高价值信息。支持识别银行卡主体的类别。</w:t>
            </w:r>
          </w:p>
          <w:p>
            <w:pPr>
              <w:pStyle w:val="null3"/>
              <w:spacing w:after="120"/>
              <w:jc w:val="left"/>
            </w:pPr>
            <w:r>
              <w:rPr>
                <w:rFonts w:ascii="仿宋_GB2312" w:hAnsi="仿宋_GB2312" w:cs="仿宋_GB2312" w:eastAsia="仿宋_GB2312"/>
                <w:color w:val="000000"/>
              </w:rPr>
              <w:t>3、智能资金查控</w:t>
            </w:r>
          </w:p>
          <w:p>
            <w:pPr>
              <w:pStyle w:val="null3"/>
            </w:pPr>
            <w:r>
              <w:rPr>
                <w:rFonts w:ascii="仿宋_GB2312" w:hAnsi="仿宋_GB2312" w:cs="仿宋_GB2312" w:eastAsia="仿宋_GB2312"/>
                <w:color w:val="000000"/>
              </w:rPr>
              <w:t>1）案件管理</w:t>
            </w:r>
            <w:r>
              <w:rPr>
                <w:rFonts w:ascii="仿宋_GB2312" w:hAnsi="仿宋_GB2312" w:cs="仿宋_GB2312" w:eastAsia="仿宋_GB2312"/>
                <w:color w:val="000000"/>
              </w:rPr>
              <w:t>：</w:t>
            </w:r>
            <w:r>
              <w:rPr>
                <w:rFonts w:ascii="仿宋_GB2312" w:hAnsi="仿宋_GB2312" w:cs="仿宋_GB2312" w:eastAsia="仿宋_GB2312"/>
                <w:color w:val="000000"/>
              </w:rPr>
              <w:t>对本地案件实现导入和分析及导出，包含案件基础信息以及案件文件信息。</w:t>
            </w:r>
          </w:p>
          <w:p>
            <w:pPr>
              <w:pStyle w:val="null3"/>
              <w:spacing w:after="120"/>
              <w:jc w:val="left"/>
            </w:pPr>
            <w:r>
              <w:rPr>
                <w:rFonts w:ascii="仿宋_GB2312" w:hAnsi="仿宋_GB2312" w:cs="仿宋_GB2312" w:eastAsia="仿宋_GB2312"/>
                <w:color w:val="000000"/>
              </w:rPr>
              <w:t>2）智能资金查控</w:t>
            </w:r>
            <w:r>
              <w:rPr>
                <w:rFonts w:ascii="仿宋_GB2312" w:hAnsi="仿宋_GB2312" w:cs="仿宋_GB2312" w:eastAsia="仿宋_GB2312"/>
                <w:color w:val="000000"/>
              </w:rPr>
              <w:t>：</w:t>
            </w:r>
            <w:r>
              <w:rPr>
                <w:rFonts w:ascii="仿宋_GB2312" w:hAnsi="仿宋_GB2312" w:cs="仿宋_GB2312" w:eastAsia="仿宋_GB2312"/>
                <w:color w:val="000000"/>
              </w:rPr>
              <w:t>依照公安部指导方法自动锁定资金流向图中的重点涉案卡并进行止付推荐操作，支持对接现有止付平台，辅助生成止付文书以及周期性续止操作。辅助生成资金返还相关信息，对相关返还卡提供详细的资金分析报告及返还依据。</w:t>
            </w:r>
          </w:p>
          <w:p>
            <w:pPr>
              <w:pStyle w:val="null3"/>
              <w:spacing w:after="120"/>
              <w:jc w:val="left"/>
            </w:pPr>
            <w:r>
              <w:rPr>
                <w:rFonts w:ascii="仿宋_GB2312" w:hAnsi="仿宋_GB2312" w:cs="仿宋_GB2312" w:eastAsia="仿宋_GB2312"/>
                <w:color w:val="000000"/>
              </w:rPr>
              <w:t>3）</w:t>
            </w:r>
            <w:r>
              <w:rPr>
                <w:rFonts w:ascii="仿宋_GB2312" w:hAnsi="仿宋_GB2312" w:cs="仿宋_GB2312" w:eastAsia="仿宋_GB2312"/>
                <w:color w:val="000000"/>
              </w:rPr>
              <w:t>对指定的止付卡名单在止付平台进行批量自动周期性止付。支持自动生成相关止付文书，设置循环止付周期时间，自动止付申请提交，以及自动止付审批。</w:t>
            </w:r>
          </w:p>
          <w:p>
            <w:pPr>
              <w:pStyle w:val="null3"/>
              <w:spacing w:before="75" w:after="75"/>
              <w:jc w:val="left"/>
            </w:pPr>
            <w:r>
              <w:rPr>
                <w:rFonts w:ascii="仿宋_GB2312" w:hAnsi="仿宋_GB2312" w:cs="仿宋_GB2312" w:eastAsia="仿宋_GB2312"/>
                <w:color w:val="000000"/>
              </w:rPr>
              <w:t>4、</w:t>
            </w:r>
            <w:r>
              <w:rPr>
                <w:rFonts w:ascii="仿宋_GB2312" w:hAnsi="仿宋_GB2312" w:cs="仿宋_GB2312" w:eastAsia="仿宋_GB2312"/>
                <w:color w:val="000000"/>
              </w:rPr>
              <w:t>智能绘图</w:t>
            </w:r>
            <w:r>
              <w:rPr>
                <w:rFonts w:ascii="仿宋_GB2312" w:hAnsi="仿宋_GB2312" w:cs="仿宋_GB2312" w:eastAsia="仿宋_GB2312"/>
                <w:color w:val="000000"/>
              </w:rPr>
              <w:t>分析</w:t>
            </w:r>
          </w:p>
          <w:p>
            <w:pPr>
              <w:pStyle w:val="null3"/>
              <w:spacing w:before="75" w:after="75"/>
              <w:jc w:val="left"/>
            </w:pPr>
            <w:r>
              <w:rPr>
                <w:rFonts w:ascii="仿宋_GB2312" w:hAnsi="仿宋_GB2312" w:cs="仿宋_GB2312" w:eastAsia="仿宋_GB2312"/>
                <w:color w:val="000000"/>
              </w:rPr>
              <w:t>1）智能涉案资金流向图绘制：自动追踪指定交易资金的来源和去向，并按资金层级自动绘制资金流向图进行分析。支持按照《电信网络新型违法犯罪案件冻结资金返还若干规定》中的指导方法对所追踪资金计算返还金额。</w:t>
            </w:r>
          </w:p>
          <w:p>
            <w:pPr>
              <w:pStyle w:val="null3"/>
              <w:spacing w:before="75" w:after="75"/>
              <w:jc w:val="left"/>
            </w:pPr>
            <w:r>
              <w:rPr>
                <w:rFonts w:ascii="仿宋_GB2312" w:hAnsi="仿宋_GB2312" w:cs="仿宋_GB2312" w:eastAsia="仿宋_GB2312"/>
                <w:color w:val="000000"/>
              </w:rPr>
              <w:t>2）智能资金关系图绘制：支持按照资金账户的交易关系，所属设备关系，开户人关系自动绘制关系图，同时按照资金流向，资金关系网络，交易净值等关键信息展示资金关系图。</w:t>
            </w:r>
          </w:p>
          <w:p>
            <w:pPr>
              <w:pStyle w:val="null3"/>
              <w:spacing w:before="75" w:after="75"/>
              <w:jc w:val="left"/>
            </w:pPr>
            <w:r>
              <w:rPr>
                <w:rFonts w:ascii="仿宋_GB2312" w:hAnsi="仿宋_GB2312" w:cs="仿宋_GB2312" w:eastAsia="仿宋_GB2312"/>
                <w:color w:val="000000"/>
              </w:rPr>
              <w:t>3）单卡资金模式分析：对于个体银行账户，支持按个人、公司、第三方支付、金融机构等交易对手类型进行分布统计，可查看主要交易对象及交易详情。</w:t>
            </w:r>
          </w:p>
          <w:p>
            <w:pPr>
              <w:pStyle w:val="null3"/>
              <w:jc w:val="both"/>
            </w:pPr>
            <w:r>
              <w:rPr>
                <w:rFonts w:ascii="仿宋_GB2312" w:hAnsi="仿宋_GB2312" w:cs="仿宋_GB2312" w:eastAsia="仿宋_GB2312"/>
                <w:color w:val="000000"/>
              </w:rPr>
              <w:t>5、智能风险分析</w:t>
            </w:r>
          </w:p>
          <w:p>
            <w:pPr>
              <w:pStyle w:val="null3"/>
              <w:jc w:val="both"/>
            </w:pPr>
            <w:r>
              <w:rPr>
                <w:rFonts w:ascii="仿宋_GB2312" w:hAnsi="仿宋_GB2312" w:cs="仿宋_GB2312" w:eastAsia="仿宋_GB2312"/>
                <w:color w:val="000000"/>
              </w:rPr>
              <w:t>1)共性分析:分析存在同特征以及重点分析存在同地点、同开户银行卡及第三方账户。2)位置分析:通过所属IP分析资金交易的地市级位置。</w:t>
            </w:r>
          </w:p>
          <w:p>
            <w:pPr>
              <w:pStyle w:val="null3"/>
              <w:jc w:val="both"/>
            </w:pPr>
            <w:r>
              <w:rPr>
                <w:rFonts w:ascii="仿宋_GB2312" w:hAnsi="仿宋_GB2312" w:cs="仿宋_GB2312" w:eastAsia="仿宋_GB2312"/>
                <w:color w:val="000000"/>
              </w:rPr>
              <w:t>3)行为分析:智能识别存在帮信和掩隐等涉案风险行为的资金账户，并标记和查看该交易详情。</w:t>
            </w:r>
          </w:p>
          <w:p>
            <w:pPr>
              <w:pStyle w:val="null3"/>
              <w:jc w:val="both"/>
            </w:pPr>
            <w:r>
              <w:rPr>
                <w:rFonts w:ascii="仿宋_GB2312" w:hAnsi="仿宋_GB2312" w:cs="仿宋_GB2312" w:eastAsia="仿宋_GB2312"/>
                <w:color w:val="000000"/>
              </w:rPr>
              <w:t>4)角色分析:智能识别存在帮信和掩隐风险的资金账户及背后实人角色。智能识别网络赌博资金链中的重要资金账户，例如赌博充值卡和赌博代理平台账户。</w:t>
            </w:r>
          </w:p>
          <w:p>
            <w:pPr>
              <w:pStyle w:val="null3"/>
              <w:jc w:val="both"/>
            </w:pPr>
            <w:r>
              <w:rPr>
                <w:rFonts w:ascii="仿宋_GB2312" w:hAnsi="仿宋_GB2312" w:cs="仿宋_GB2312" w:eastAsia="仿宋_GB2312"/>
                <w:color w:val="000000"/>
              </w:rPr>
              <w:t>6、调整助手服务：可支持资金数据平台的调证服务。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大数据辅助分析系统服务</w:t>
            </w:r>
          </w:p>
        </w:tc>
        <w:tc>
          <w:tcPr>
            <w:tcW w:type="dxa" w:w="2076"/>
          </w:tcPr>
          <w:p>
            <w:pPr>
              <w:pStyle w:val="null3"/>
              <w:jc w:val="left"/>
            </w:pPr>
            <w:r>
              <w:rPr>
                <w:rFonts w:ascii="仿宋_GB2312" w:hAnsi="仿宋_GB2312" w:cs="仿宋_GB2312" w:eastAsia="仿宋_GB2312"/>
                <w:color w:val="000000"/>
              </w:rPr>
              <w:t>1、特征码检索：通过提供的人群数据，</w:t>
            </w:r>
            <w:r>
              <w:rPr>
                <w:rFonts w:ascii="仿宋_GB2312" w:hAnsi="仿宋_GB2312" w:cs="仿宋_GB2312" w:eastAsia="仿宋_GB2312"/>
                <w:color w:val="000000"/>
              </w:rPr>
              <w:t>关联该目标人员其他数据</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2、用户画像：大数据人员画像，对人群打标签；</w:t>
            </w:r>
          </w:p>
          <w:p>
            <w:pPr>
              <w:pStyle w:val="null3"/>
              <w:jc w:val="left"/>
            </w:pPr>
            <w:r>
              <w:rPr>
                <w:rFonts w:ascii="仿宋_GB2312" w:hAnsi="仿宋_GB2312" w:cs="仿宋_GB2312" w:eastAsia="仿宋_GB2312"/>
                <w:color w:val="000000"/>
              </w:rPr>
              <w:t>3、常连WIFI：分析近段时间目标人群的常连WIFI；</w:t>
            </w:r>
          </w:p>
          <w:p>
            <w:pPr>
              <w:pStyle w:val="null3"/>
              <w:jc w:val="left"/>
            </w:pPr>
            <w:r>
              <w:rPr>
                <w:rFonts w:ascii="仿宋_GB2312" w:hAnsi="仿宋_GB2312" w:cs="仿宋_GB2312" w:eastAsia="仿宋_GB2312"/>
                <w:color w:val="000000"/>
              </w:rPr>
              <w:t>4、点位管理：分析点位回溯功能；</w:t>
            </w:r>
          </w:p>
          <w:p>
            <w:pPr>
              <w:pStyle w:val="null3"/>
              <w:jc w:val="left"/>
            </w:pPr>
            <w:r>
              <w:rPr>
                <w:rFonts w:ascii="仿宋_GB2312" w:hAnsi="仿宋_GB2312" w:cs="仿宋_GB2312" w:eastAsia="仿宋_GB2312"/>
                <w:color w:val="000000"/>
              </w:rPr>
              <w:t>5、关系图谱：分析目标人群的关系图谱，寻找目标人群之间的相互关系；</w:t>
            </w:r>
          </w:p>
          <w:p>
            <w:pPr>
              <w:pStyle w:val="null3"/>
              <w:jc w:val="left"/>
            </w:pPr>
            <w:r>
              <w:rPr>
                <w:rFonts w:ascii="仿宋_GB2312" w:hAnsi="仿宋_GB2312" w:cs="仿宋_GB2312" w:eastAsia="仿宋_GB2312"/>
                <w:color w:val="000000"/>
              </w:rPr>
              <w:t>6、Wi-Fi检索:对指定的Wi-Fi设备进行查询筛选。</w:t>
            </w:r>
          </w:p>
          <w:p>
            <w:pPr>
              <w:pStyle w:val="null3"/>
              <w:jc w:val="both"/>
            </w:pPr>
            <w:r>
              <w:rPr>
                <w:rFonts w:ascii="仿宋_GB2312" w:hAnsi="仿宋_GB2312" w:cs="仿宋_GB2312" w:eastAsia="仿宋_GB2312"/>
                <w:color w:val="000000"/>
              </w:rPr>
              <w:t>7、基站检索:对指定的基站设备进行查询筛选，分析提供基站(gps)轨迹。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服务期限为12个月（自账号开通之日起开始计算）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3.提供具有履行合同所必需的设备和专业技术能力的承诺；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5.提供响应文件提交截止时间前一年内已缴存的至少一个月的社会保障资金缴存单据或社保机构开具的社会保险参保缴费情况证明，依法不需要缴纳社会保障资金的供应商应提供相应证明文件；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标的清单 陕西省政府采购供应商拒绝政府采购领域商业贿赂承诺书 响应函 合同条款响应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标的清单 陕西省政府采购供应商拒绝政府采购领域商业贿赂承诺书 响应函 合同条款响应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陕西省政府采购供应商拒绝政府采购领域商业贿赂承诺书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体系结构设计②模块设计③载体软件部署方案④授权开通方案⑤反诈资金分析服务功能设计⑥大数据辅助分析系统服务功能设计⑦数据规范设计方案。以上内容阐述明确、全面、合理得21分。评审内容每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关键点、重点、难点的理解与分析及对策</w:t>
            </w:r>
          </w:p>
        </w:tc>
        <w:tc>
          <w:tcPr>
            <w:tcW w:type="dxa" w:w="2492"/>
          </w:tcPr>
          <w:p>
            <w:pPr>
              <w:pStyle w:val="null3"/>
            </w:pPr>
            <w:r>
              <w:rPr>
                <w:rFonts w:ascii="仿宋_GB2312" w:hAnsi="仿宋_GB2312" w:cs="仿宋_GB2312" w:eastAsia="仿宋_GB2312"/>
              </w:rPr>
              <w:t>评审内容：①项目的重点、难点进行分析②解决解决方案。 评审标准：评审方案详尽，阐述清晰，设计架构思路合理，对重点、难点分析到位，提出的解决办法思路明确具有针对性、完全符合项目特点，得9分。评审内容每缺一项扣4.5分,评审内容有缺陷（缺陷指内容明显错误，或内容表述前后矛盾、内容不完整、表达简单笼统、缺少关键点，或不适用本项目特性等）的扣0.1-4.4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评审内容：①具体的项目进度安排②保障项目进度的措施③人员的分工。 评审标准: 计划合理且量化可控，完全针对本项目需求，各阶段时间节点清晰：各阶段进度保障措施全面得当、各阶段人员分工安排科学，完全符合且能够保障本项目服务期得9分；评审内容每缺一项扣3分；评审内容有缺陷（缺陷是指：内容粗略、逻辑混乱、描述过于简单、与项目特点不匹配、凭空编造、出现常识性错误或只有标题没有实质性内容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安全方案及安全保障体系</w:t>
            </w:r>
          </w:p>
        </w:tc>
        <w:tc>
          <w:tcPr>
            <w:tcW w:type="dxa" w:w="2492"/>
          </w:tcPr>
          <w:p>
            <w:pPr>
              <w:pStyle w:val="null3"/>
            </w:pPr>
            <w:r>
              <w:rPr>
                <w:rFonts w:ascii="仿宋_GB2312" w:hAnsi="仿宋_GB2312" w:cs="仿宋_GB2312" w:eastAsia="仿宋_GB2312"/>
              </w:rPr>
              <w:t>评审内容：①系统安全②信息安全③管理安全④保障体系。 评审标准：评审方案详尽，阐述清晰，合理可行，安全保障体系健全，针对性强得14分；评审内容每缺一项扣3.5分；评审内容有缺陷（缺陷是指：内容粗略、逻辑混乱、描述过于简单、与项目特点不匹配、出现常识性错误、存在不适用项目实际情况的情形或只有标题没有实质性内容等）的扣0.1-3.4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评审内容：①发生故障后的应急预案②设置负责人提供应急服务。 评审标准：方案各部分内容全面详细、阐述条理清晰详尽。应急预案完全满足项目需求、全面细致、有完善应急保障体系方案切实可行，服务人员信息齐全，服务高效符合本项目采购需求得10分；评审内容每缺一项扣5分；评审内容有缺陷（缺陷是指：内容粗略、逻辑混乱、描述过于简单、与项目特点不匹配、人员信息不全、存在不适用项目实际情况的情形或只有标题没有实质性内容等）的扣0.1-4.9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评审内容：①详细功能②日常使用操作③常见故障的排除及紧急情况的处理。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评审内容：①售后服务方案②售后服务承诺。 评审标准：方案各部分内容全面详细、阐述条理清晰详尽、符合本项目采购需求得8分；评审内容每缺一项扣4分；评审内容有缺陷（缺陷是指：内容粗略、逻辑混乱、描述过于简单、与项目特点不匹配、凭空编造、逻辑漏洞、出现常识性错误、存在不适用项目实际情况的情形或只有标题没有实质性内容等）的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投标人提供2022年1月1日至今类似项目业绩（以合同签订日期为准），每提供1个得2分，最高得10分。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