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版本号：SXZHZC2025-CS20920250422001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经开区2025年参与西安市加力扩围消费品以旧换新消费折扣券补贴审核会计服务项目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SXZHZC2025-CS209</w:t>
      </w:r>
      <w:r>
        <w:br/>
      </w:r>
      <w:r>
        <w:br/>
      </w:r>
      <w:r>
        <w:br/>
      </w:r>
    </w:p>
    <w:p>
      <w:pPr>
        <w:pStyle w:val="null3"/>
        <w:jc w:val="center"/>
        <w:outlineLvl w:val="2"/>
      </w:pPr>
      <w:r>
        <w:rPr>
          <w:rFonts w:ascii="仿宋_GB2312" w:hAnsi="仿宋_GB2312" w:cs="仿宋_GB2312" w:eastAsia="仿宋_GB2312"/>
          <w:sz w:val="28"/>
          <w:b/>
        </w:rPr>
        <w:t>西安经济技术开发区商务局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西安经济技术开发区商务局</w:t>
      </w:r>
      <w:r>
        <w:rPr>
          <w:rFonts w:ascii="仿宋_GB2312" w:hAnsi="仿宋_GB2312" w:cs="仿宋_GB2312" w:eastAsia="仿宋_GB2312"/>
        </w:rPr>
        <w:t>委托，拟对</w:t>
      </w:r>
      <w:r>
        <w:rPr>
          <w:rFonts w:ascii="仿宋_GB2312" w:hAnsi="仿宋_GB2312" w:cs="仿宋_GB2312" w:eastAsia="仿宋_GB2312"/>
        </w:rPr>
        <w:t>经开区2025年参与西安市加力扩围消费品以旧换新消费折扣券补贴审核会计服务项目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经开区2025年参与西安市加力扩围消费品以旧换新消费折扣券补贴审核会计服务项目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开区2025年参与西安市加力扩围消费品以旧换新消费折扣券补贴审核会计服务项目主要对参与活动涉及的五大类（汽车、家电、家装厨卫、数码、电动自行车）的电商平台及线下门店消费折扣券核销情况进行审核，确保消费券补贴及时、准确、有效核销，财政资金使用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采购包1（经开区2025年参与西安市加力扩围消费品以旧换新消费折扣券补贴审核会计服务项目）：属于专门面向中小企业采购。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2、供应商资质要求：财政主管部门审查核准颁发的《会计师事务所执业资格证书》</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西安市凤城十二路166号凯瑞F座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029-86181510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有关规定收取，若不足捌仟元则按捌仟元定额收取。 代理服务费账户信息：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西安经济技术开发区商务局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符合国家相关行业规范“合格”标准，且符合采购人的要求。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联系人：赵钰</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为贯彻落实中央经济工作会议精神，根据国家发改委、财政部《关于</w:t>
      </w:r>
      <w:r>
        <w:rPr>
          <w:rFonts w:ascii="仿宋_GB2312" w:hAnsi="仿宋_GB2312" w:cs="仿宋_GB2312" w:eastAsia="仿宋_GB2312"/>
          <w:sz w:val="21"/>
        </w:rPr>
        <w:t>2025</w:t>
      </w:r>
      <w:r>
        <w:rPr>
          <w:rFonts w:ascii="仿宋_GB2312" w:hAnsi="仿宋_GB2312" w:cs="仿宋_GB2312" w:eastAsia="仿宋_GB2312"/>
          <w:sz w:val="21"/>
        </w:rPr>
        <w:t>年加力扩围实施大规模设备更新和消费品以旧换新政策的通知》（发改环资〔</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号）。根据《</w:t>
      </w:r>
      <w:r>
        <w:rPr>
          <w:rFonts w:ascii="仿宋_GB2312" w:hAnsi="仿宋_GB2312" w:cs="仿宋_GB2312" w:eastAsia="仿宋_GB2312"/>
          <w:sz w:val="21"/>
        </w:rPr>
        <w:t>2025</w:t>
      </w:r>
      <w:r>
        <w:rPr>
          <w:rFonts w:ascii="仿宋_GB2312" w:hAnsi="仿宋_GB2312" w:cs="仿宋_GB2312" w:eastAsia="仿宋_GB2312"/>
          <w:sz w:val="21"/>
        </w:rPr>
        <w:t>年西安市加力扩围消费品以旧换新政策措施及实施方案》（市商发〔</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号），在汽车、家电、数码、电动自行车、家装厨卫（含电商平台）</w:t>
      </w:r>
      <w:r>
        <w:rPr>
          <w:rFonts w:ascii="仿宋_GB2312" w:hAnsi="仿宋_GB2312" w:cs="仿宋_GB2312" w:eastAsia="仿宋_GB2312"/>
          <w:sz w:val="21"/>
        </w:rPr>
        <w:t>5</w:t>
      </w:r>
      <w:r>
        <w:rPr>
          <w:rFonts w:ascii="仿宋_GB2312" w:hAnsi="仿宋_GB2312" w:cs="仿宋_GB2312" w:eastAsia="仿宋_GB2312"/>
          <w:sz w:val="21"/>
        </w:rPr>
        <w:t>个领域分别发放消费折扣券</w:t>
      </w:r>
      <w:r>
        <w:rPr>
          <w:rFonts w:ascii="仿宋_GB2312" w:hAnsi="仿宋_GB2312" w:cs="仿宋_GB2312" w:eastAsia="仿宋_GB2312"/>
          <w:sz w:val="21"/>
        </w:rPr>
        <w:t>补贴</w:t>
      </w:r>
      <w:r>
        <w:rPr>
          <w:rFonts w:ascii="仿宋_GB2312" w:hAnsi="仿宋_GB2312" w:cs="仿宋_GB2312" w:eastAsia="仿宋_GB2312"/>
          <w:sz w:val="21"/>
        </w:rPr>
        <w:t>，本项目旨在确保</w:t>
      </w:r>
      <w:r>
        <w:rPr>
          <w:rFonts w:ascii="仿宋_GB2312" w:hAnsi="仿宋_GB2312" w:cs="仿宋_GB2312" w:eastAsia="仿宋_GB2312"/>
          <w:sz w:val="21"/>
        </w:rPr>
        <w:t>经开区以上</w:t>
      </w:r>
      <w:r>
        <w:rPr>
          <w:rFonts w:ascii="仿宋_GB2312" w:hAnsi="仿宋_GB2312" w:cs="仿宋_GB2312" w:eastAsia="仿宋_GB2312"/>
          <w:sz w:val="21"/>
        </w:rPr>
        <w:t>5</w:t>
      </w:r>
      <w:r>
        <w:rPr>
          <w:rFonts w:ascii="仿宋_GB2312" w:hAnsi="仿宋_GB2312" w:cs="仿宋_GB2312" w:eastAsia="仿宋_GB2312"/>
          <w:sz w:val="21"/>
        </w:rPr>
        <w:t>个领域的</w:t>
      </w:r>
      <w:r>
        <w:rPr>
          <w:rFonts w:ascii="仿宋_GB2312" w:hAnsi="仿宋_GB2312" w:cs="仿宋_GB2312" w:eastAsia="仿宋_GB2312"/>
          <w:sz w:val="21"/>
        </w:rPr>
        <w:t>消费折扣券</w:t>
      </w:r>
      <w:r>
        <w:rPr>
          <w:rFonts w:ascii="仿宋_GB2312" w:hAnsi="仿宋_GB2312" w:cs="仿宋_GB2312" w:eastAsia="仿宋_GB2312"/>
          <w:sz w:val="21"/>
        </w:rPr>
        <w:t>补贴</w:t>
      </w:r>
      <w:r>
        <w:rPr>
          <w:rFonts w:ascii="仿宋_GB2312" w:hAnsi="仿宋_GB2312" w:cs="仿宋_GB2312" w:eastAsia="仿宋_GB2312"/>
          <w:sz w:val="21"/>
        </w:rPr>
        <w:t>及时、准确、有效核销。采购人提出要求后，供应商应根据项目特点制定详细可行的审核方案，组织力量保质保量做好审核实施工作，确保补贴资金合理、合规使用。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加力扩围消费品以旧换新消费折扣券补贴审核会计服务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标的名称：加力扩围消费品以旧换新消费折扣券补贴审核会计服务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30" w:after="30"/>
            </w:pPr>
            <w:r>
              <w:rPr>
                <w:rFonts w:ascii="仿宋_GB2312" w:hAnsi="仿宋_GB2312" w:cs="仿宋_GB2312" w:eastAsia="仿宋_GB2312"/>
                <w:sz w:val="12"/>
              </w:rPr>
              <w:t>一、项目概况</w:t>
            </w:r>
          </w:p>
          <w:p>
            <w:pPr>
              <w:pStyle w:val="null3"/>
              <w:spacing w:before="30" w:after="30"/>
            </w:pPr>
            <w:r>
              <w:rPr>
                <w:rFonts w:ascii="仿宋_GB2312" w:hAnsi="仿宋_GB2312" w:cs="仿宋_GB2312" w:eastAsia="仿宋_GB2312"/>
                <w:sz w:val="12"/>
              </w:rPr>
              <w:t>为贯彻落实中央经济工作会议精神，根据国家发改委、财政部《关于2025年加力扩围实施大规模设备更新和消费品以旧换新政策的通知》（发改环资〔2025〕13号）。根据《2025年西安市加力扩围消费品以旧换新政策措施及实施方案》（市商发〔2025〕2号），在汽车、家电、数码、电动自行车、家装厨卫（含电商平台）5个领域分别发放消费折扣券补贴，本项目旨在确保经开区以上5个领域的消费折扣券补贴及时、准确、有效核销。采购人提出要求后，供应商应根据项目特点制定详细可行的审核方案，组织力量保质保量做好审核实施工作，确保补贴资金合理、合规使用。</w:t>
            </w:r>
          </w:p>
          <w:p>
            <w:pPr>
              <w:pStyle w:val="null3"/>
              <w:spacing w:before="30" w:after="30"/>
            </w:pPr>
            <w:r>
              <w:rPr>
                <w:rFonts w:ascii="仿宋_GB2312" w:hAnsi="仿宋_GB2312" w:cs="仿宋_GB2312" w:eastAsia="仿宋_GB2312"/>
                <w:sz w:val="12"/>
              </w:rPr>
              <w:t>二、服务内容（包括工作区域、工作内容等）</w:t>
            </w:r>
          </w:p>
          <w:p>
            <w:pPr>
              <w:pStyle w:val="null3"/>
              <w:spacing w:before="30" w:after="30"/>
            </w:pPr>
            <w:r>
              <w:rPr>
                <w:rFonts w:ascii="仿宋_GB2312" w:hAnsi="仿宋_GB2312" w:cs="仿宋_GB2312" w:eastAsia="仿宋_GB2312"/>
                <w:sz w:val="12"/>
              </w:rPr>
              <w:t>1.服务工作主要内容为，审核个人消费者2025年1月1日至12月31日期间在经开区参与补贴活动的商贸企业（单位），购买或置换汽车、家电、数码、电动自行车、家装厨卫（含电商平台）5个领域的产品，且家电、数码、家装厨卫收货地址在陕西省境内的消费折扣券核销情况。</w:t>
            </w:r>
          </w:p>
          <w:p>
            <w:pPr>
              <w:pStyle w:val="null3"/>
              <w:spacing w:before="30" w:after="30"/>
            </w:pPr>
            <w:r>
              <w:rPr>
                <w:rFonts w:ascii="仿宋_GB2312" w:hAnsi="仿宋_GB2312" w:cs="仿宋_GB2312" w:eastAsia="仿宋_GB2312"/>
                <w:sz w:val="12"/>
              </w:rPr>
              <w:t>（一）汽车：</w:t>
            </w:r>
          </w:p>
          <w:p>
            <w:pPr>
              <w:pStyle w:val="null3"/>
              <w:spacing w:before="30" w:after="30"/>
            </w:pPr>
            <w:r>
              <w:rPr>
                <w:rFonts w:ascii="仿宋_GB2312" w:hAnsi="仿宋_GB2312" w:cs="仿宋_GB2312" w:eastAsia="仿宋_GB2312"/>
                <w:sz w:val="12"/>
              </w:rPr>
              <w:t>（1）补贴范围和标准。个人消费者自2025年1月1日至12月31日期间，转让登记在本人名下乘用车并在经开区购买乘用车新车的，给予汽车置换更新补贴支持。按照新车购置发票金额，购买新能源乘用车，15万元(不含)以下的单辆补贴1万元，15万元以上的单辆补贴1.5万元;购买燃油乘用车，15万元(不含)以下的单辆补贴0.8万元，15万元以上的单辆补贴1.3万元。</w:t>
            </w:r>
          </w:p>
          <w:p>
            <w:pPr>
              <w:pStyle w:val="null3"/>
              <w:spacing w:before="30" w:after="30"/>
            </w:pPr>
            <w:r>
              <w:rPr>
                <w:rFonts w:ascii="仿宋_GB2312" w:hAnsi="仿宋_GB2312" w:cs="仿宋_GB2312" w:eastAsia="仿宋_GB2312"/>
                <w:sz w:val="12"/>
              </w:rPr>
              <w:t>（2）补贴申领程序。个人消费者于2026年1月10日前，通过云闪付APP提交补贴申请,包括购车人身份信息、手机号码、收款账号，新车《机动车销售统一发票》和《机动车登记证书》旧车《机动车登记证书》和《二手车销售统一发票》。转让车辆所有人与新购车辆所有人应为同一人。每个消费者在2025年内只能享受1次汽车置换更新补贴，同一辆新车不能同时申报报废更新补贴和置换更新补贴。转让的机动车最迟不得晚于2025年1月8日登记在提出申请的个人消费者名下。经市级商务部门审核通过后，补贴资金直接拨付个人消费者银行账户。</w:t>
            </w:r>
          </w:p>
          <w:p>
            <w:pPr>
              <w:pStyle w:val="null3"/>
              <w:spacing w:before="30" w:after="30"/>
            </w:pPr>
            <w:r>
              <w:rPr>
                <w:rFonts w:ascii="仿宋_GB2312" w:hAnsi="仿宋_GB2312" w:cs="仿宋_GB2312" w:eastAsia="仿宋_GB2312"/>
                <w:sz w:val="12"/>
              </w:rPr>
              <w:t>（二）家电：</w:t>
            </w:r>
          </w:p>
          <w:p>
            <w:pPr>
              <w:pStyle w:val="null3"/>
              <w:spacing w:before="30" w:after="30"/>
            </w:pPr>
            <w:r>
              <w:rPr>
                <w:rFonts w:ascii="仿宋_GB2312" w:hAnsi="仿宋_GB2312" w:cs="仿宋_GB2312" w:eastAsia="仿宋_GB2312"/>
                <w:sz w:val="12"/>
              </w:rPr>
              <w:t>（1）补贴范围和标准。个人消费者自2025年1月1日至12月31日期间，在经开区参与补贴活动的商贸企业（单位），购买以下“12+32”类家电产品给予补贴。</w:t>
            </w:r>
          </w:p>
          <w:p>
            <w:pPr>
              <w:pStyle w:val="null3"/>
              <w:spacing w:before="30" w:after="30"/>
            </w:pPr>
            <w:r>
              <w:rPr>
                <w:rFonts w:ascii="仿宋_GB2312" w:hAnsi="仿宋_GB2312" w:cs="仿宋_GB2312" w:eastAsia="仿宋_GB2312"/>
                <w:sz w:val="12"/>
              </w:rPr>
              <w:t>①购买冰箱、洗衣机、电视、空调、电脑、热水器、家用灶具、吸油烟机、微波炉、净水器、洗碗机、电饭煲12类家电产品，二级能效或水效标准的，按产品最终销售价格的15%给予补贴；一级能效或水效标准的，按产品最终销售价格的20%给予补贴。每个消费者每类产品可补贴1件（空调产品最多可补贴3件），每件补贴不超过2000元。</w:t>
            </w:r>
          </w:p>
          <w:p>
            <w:pPr>
              <w:pStyle w:val="null3"/>
              <w:spacing w:before="30" w:after="30"/>
            </w:pPr>
            <w:r>
              <w:rPr>
                <w:rFonts w:ascii="仿宋_GB2312" w:hAnsi="仿宋_GB2312" w:cs="仿宋_GB2312" w:eastAsia="仿宋_GB2312"/>
                <w:sz w:val="12"/>
              </w:rPr>
              <w:t>②购买按摩椅、跑步机、理疗仪、投影仪（移动智慧屏）、打印机、学习机、除湿机、加湿器（雾化器）、音响设备、空气净化器、新风系统、风扇、电暖器、冷柜、吸尘器、洗地机、扫地机器人、干衣机、挂烫机、衣物护理机、吹风机、消毒柜、垃圾处理机、电磁炉、电烤箱、管线机、净饮机（饮水机）、咖啡机、面条机、面包机、破壁机、厨师机32类生活电器，按产品最终销售价格的15%给予补贴，每件补贴不超过2000元。</w:t>
            </w:r>
          </w:p>
          <w:p>
            <w:pPr>
              <w:pStyle w:val="null3"/>
              <w:spacing w:before="30" w:after="30"/>
            </w:pPr>
            <w:r>
              <w:rPr>
                <w:rFonts w:ascii="仿宋_GB2312" w:hAnsi="仿宋_GB2312" w:cs="仿宋_GB2312" w:eastAsia="仿宋_GB2312"/>
                <w:sz w:val="12"/>
              </w:rPr>
              <w:t>（2）补贴方式。依托云闪付平台对消费者资格认证后，采取立减方式发放消费补贴，消费者可通过实体门店和电商平台购买，购买上述家电产品收货地址应在陕西省境内。销售企业负责在云闪付平台提交补贴申请信息，经市级商务部门对消费者订单、支付发票、收货地等相关信息审核通过后，向销售企业账户拨付补贴资金。</w:t>
            </w:r>
          </w:p>
          <w:p>
            <w:pPr>
              <w:pStyle w:val="null3"/>
              <w:spacing w:before="30" w:after="30"/>
            </w:pPr>
            <w:r>
              <w:rPr>
                <w:rFonts w:ascii="仿宋_GB2312" w:hAnsi="仿宋_GB2312" w:cs="仿宋_GB2312" w:eastAsia="仿宋_GB2312"/>
                <w:sz w:val="12"/>
              </w:rPr>
              <w:t>（三）数码：</w:t>
            </w:r>
          </w:p>
          <w:p>
            <w:pPr>
              <w:pStyle w:val="null3"/>
              <w:spacing w:before="30" w:after="30"/>
            </w:pPr>
            <w:r>
              <w:rPr>
                <w:rFonts w:ascii="仿宋_GB2312" w:hAnsi="仿宋_GB2312" w:cs="仿宋_GB2312" w:eastAsia="仿宋_GB2312"/>
                <w:sz w:val="12"/>
              </w:rPr>
              <w:t>（1）补贴范围和标准。个人消费者自2025年1月20日至12月31日期间，在经开区参与补贴活动的商贸企业（单位），购买手机、平板、智能手表（手环）3类数码产品（单件销售价格不超过6000元），按产品最终销售价格的15%给予补贴。每个消费者每类产品可补贴1件，每件补贴不超过500元。</w:t>
            </w:r>
          </w:p>
          <w:p>
            <w:pPr>
              <w:pStyle w:val="null3"/>
              <w:spacing w:before="30" w:after="30"/>
            </w:pPr>
            <w:r>
              <w:rPr>
                <w:rFonts w:ascii="仿宋_GB2312" w:hAnsi="仿宋_GB2312" w:cs="仿宋_GB2312" w:eastAsia="仿宋_GB2312"/>
                <w:sz w:val="12"/>
              </w:rPr>
              <w:t>（2）补贴方式。依托云闪付平台对消费者资格认证后，采取立减方式发放消费补贴，消费者可通过实体门店和电商平台购买，购买上述数码产品收货地址应在陕西省境内。销售企业负责在云闪付平台提交补贴申请信息，经市级商务部门对消费者订单、支付发票、收货地等相关信息审核通过后，向销售企业账户拨付补贴资金。</w:t>
            </w:r>
          </w:p>
          <w:p>
            <w:pPr>
              <w:pStyle w:val="null3"/>
              <w:spacing w:before="30" w:after="30"/>
            </w:pPr>
            <w:r>
              <w:rPr>
                <w:rFonts w:ascii="仿宋_GB2312" w:hAnsi="仿宋_GB2312" w:cs="仿宋_GB2312" w:eastAsia="仿宋_GB2312"/>
                <w:sz w:val="12"/>
              </w:rPr>
              <w:t>（四）电动自行车：</w:t>
            </w:r>
          </w:p>
          <w:p>
            <w:pPr>
              <w:pStyle w:val="null3"/>
              <w:spacing w:before="30" w:after="30"/>
            </w:pPr>
            <w:r>
              <w:rPr>
                <w:rFonts w:ascii="仿宋_GB2312" w:hAnsi="仿宋_GB2312" w:cs="仿宋_GB2312" w:eastAsia="仿宋_GB2312"/>
                <w:sz w:val="12"/>
              </w:rPr>
              <w:t>（1）补贴范围和标准。个人消费者自2025年1月1日至12月</w:t>
            </w:r>
          </w:p>
          <w:p>
            <w:pPr>
              <w:pStyle w:val="null3"/>
              <w:spacing w:before="30" w:after="30"/>
            </w:pPr>
            <w:r>
              <w:rPr>
                <w:rFonts w:ascii="仿宋_GB2312" w:hAnsi="仿宋_GB2312" w:cs="仿宋_GB2312" w:eastAsia="仿宋_GB2312"/>
                <w:sz w:val="12"/>
              </w:rPr>
              <w:t>31日期间，在经开区参与补贴活动的商贸企业(单位)，交售报废的老旧电动自行车并换购新车的，每辆补贴500元；对交售用于报废的老旧锂离子蓄电池电动自行车并换购铅酸蓄电池电动自行车新车的补贴600元。</w:t>
            </w:r>
          </w:p>
          <w:p>
            <w:pPr>
              <w:pStyle w:val="null3"/>
              <w:spacing w:before="30" w:after="30"/>
            </w:pPr>
            <w:r>
              <w:rPr>
                <w:rFonts w:ascii="仿宋_GB2312" w:hAnsi="仿宋_GB2312" w:cs="仿宋_GB2312" w:eastAsia="仿宋_GB2312"/>
                <w:sz w:val="12"/>
              </w:rPr>
              <w:t>（2）补贴方式。采取个人消费者现买立减、参与企业申请后补的方式，个人消费者将旧电动自行车送至有资质的回收处置企业或其委托的参与补贴活动的电动自行车销售门店折价收旧(旧车折价双方按照市场价商定)。消费者在销售门店选购新车并现场通过支付宝享受补贴立减支付。销售门店开具发票，并将个人消费者信息、旧车信息、新车信息、销售信息等通过支付宝上传至指定审核平台。经市级商务部门审核通过后，将补贴资金发放至销售企业的银行账户。</w:t>
            </w:r>
          </w:p>
          <w:p>
            <w:pPr>
              <w:pStyle w:val="null3"/>
              <w:spacing w:before="30" w:after="30"/>
            </w:pPr>
            <w:r>
              <w:rPr>
                <w:rFonts w:ascii="仿宋_GB2312" w:hAnsi="仿宋_GB2312" w:cs="仿宋_GB2312" w:eastAsia="仿宋_GB2312"/>
                <w:sz w:val="12"/>
              </w:rPr>
              <w:t>（五）家装厨卫：</w:t>
            </w:r>
          </w:p>
          <w:p>
            <w:pPr>
              <w:pStyle w:val="null3"/>
              <w:spacing w:before="30" w:after="30"/>
            </w:pPr>
            <w:r>
              <w:rPr>
                <w:rFonts w:ascii="仿宋_GB2312" w:hAnsi="仿宋_GB2312" w:cs="仿宋_GB2312" w:eastAsia="仿宋_GB2312"/>
                <w:sz w:val="12"/>
              </w:rPr>
              <w:t>（1）补贴范围和标准。个人消费者自2025年1月1日至12月31日期间，在经开区参与补贴活动的商贸企业(单位)，购买以下“13+9”类产品给予补贴。以西安实际制定具体补贴方案为准，暂定为：</w:t>
            </w:r>
          </w:p>
          <w:p>
            <w:pPr>
              <w:pStyle w:val="null3"/>
              <w:spacing w:before="30" w:after="30"/>
            </w:pPr>
            <w:r>
              <w:rPr>
                <w:rFonts w:ascii="仿宋_GB2312" w:hAnsi="仿宋_GB2312" w:cs="仿宋_GB2312" w:eastAsia="仿宋_GB2312"/>
                <w:sz w:val="12"/>
              </w:rPr>
              <w:t>①购买马桶、浴缸、淋浴器、台盆、沙发、床品（含床垫、床头柜、床架）、床上用品（含床单、被褥、枕头、床笠）、桌椅（含餐客桌椅、梳妆台、茶几）、柜子（含橱柜、浴室柜、衣柜、书柜）、灯具、智能坐便器（含智能马桶盖）、智能门锁、智能家居控制系统（含智能监控）13类家装消费品，按照产品最终销售价格的15%给予补贴，每件补贴不超过2000元。</w:t>
            </w:r>
          </w:p>
          <w:p>
            <w:pPr>
              <w:pStyle w:val="null3"/>
              <w:spacing w:before="30" w:after="30"/>
            </w:pPr>
            <w:r>
              <w:rPr>
                <w:rFonts w:ascii="仿宋_GB2312" w:hAnsi="仿宋_GB2312" w:cs="仿宋_GB2312" w:eastAsia="仿宋_GB2312"/>
                <w:sz w:val="12"/>
              </w:rPr>
              <w:t>②购买老年人护理床、轮椅（助行器）、自动感应灯具、闪光振动门铃、助听器、制氧机、呼吸机、血压计、血糖仪9类适老化产品，按照产品最终销售价格的30%给予补贴，每件补贴不超过2000元。</w:t>
            </w:r>
          </w:p>
          <w:p>
            <w:pPr>
              <w:pStyle w:val="null3"/>
              <w:spacing w:before="30" w:after="30"/>
            </w:pPr>
            <w:r>
              <w:rPr>
                <w:rFonts w:ascii="仿宋_GB2312" w:hAnsi="仿宋_GB2312" w:cs="仿宋_GB2312" w:eastAsia="仿宋_GB2312"/>
                <w:sz w:val="12"/>
              </w:rPr>
              <w:t>（家装厨卫以西安实际制定具体补贴方案为准）</w:t>
            </w:r>
          </w:p>
          <w:p>
            <w:pPr>
              <w:pStyle w:val="null3"/>
              <w:spacing w:before="30" w:after="30"/>
            </w:pPr>
            <w:r>
              <w:rPr>
                <w:rFonts w:ascii="仿宋_GB2312" w:hAnsi="仿宋_GB2312" w:cs="仿宋_GB2312" w:eastAsia="仿宋_GB2312"/>
                <w:sz w:val="12"/>
              </w:rPr>
              <w:t>（2）补贴方式。依托支付宝平台对消费者资格认证后，采取立减方式发放消费补贴，消费者可通过实体门店和电商平台购买，购买上述家装产品收货地址应在陕西省境内。销售企业负责在支付宝平台提交家装补贴申请信息，经市级商务部门对消费者订单、支付发票、收货地等相关信息审核通过后，向销售企业账户拨付补贴资金。</w:t>
            </w:r>
          </w:p>
          <w:p>
            <w:pPr>
              <w:pStyle w:val="null3"/>
              <w:spacing w:before="30" w:after="30"/>
            </w:pPr>
            <w:r>
              <w:rPr>
                <w:rFonts w:ascii="仿宋_GB2312" w:hAnsi="仿宋_GB2312" w:cs="仿宋_GB2312" w:eastAsia="仿宋_GB2312"/>
                <w:sz w:val="12"/>
              </w:rPr>
              <w:t>如果相关政策措施有更新，以上补贴范围、补贴标准和补贴方式以最新政策措施为准。</w:t>
            </w:r>
          </w:p>
          <w:p>
            <w:pPr>
              <w:pStyle w:val="null3"/>
              <w:spacing w:before="30" w:after="30"/>
            </w:pPr>
            <w:r>
              <w:rPr>
                <w:rFonts w:ascii="仿宋_GB2312" w:hAnsi="仿宋_GB2312" w:cs="仿宋_GB2312" w:eastAsia="仿宋_GB2312"/>
                <w:sz w:val="12"/>
              </w:rPr>
              <w:t>2.此次审核项目，除汽车类的需按照要求完成阶段性审核工作，提交阶段性审核报告（包括审核通过的补贴名单、补贴金额及审核不通过的名单和原因）外，其他4类需在发放完消费券后一个月内完成审核工作并出具审核工作报告，以保证补贴资金能够及时、准确地发放，提高项目的执行效率。（以上为暂定，实际执行过程以最新要求为准）。</w:t>
            </w:r>
          </w:p>
          <w:p>
            <w:pPr>
              <w:pStyle w:val="null3"/>
              <w:spacing w:before="30" w:after="30"/>
            </w:pPr>
            <w:r>
              <w:rPr>
                <w:rFonts w:ascii="仿宋_GB2312" w:hAnsi="仿宋_GB2312" w:cs="仿宋_GB2312" w:eastAsia="仿宋_GB2312"/>
                <w:sz w:val="12"/>
              </w:rPr>
              <w:t>3.定期汇报工作进度。乙方应在合同签订后立即启动审核工作，每周以书面形式向甲方报送审核进度（包括信息审核总条数，通过条数、未通过条数，及未通过原因，异常交易情况等）。</w:t>
            </w:r>
          </w:p>
          <w:p>
            <w:pPr>
              <w:pStyle w:val="null3"/>
              <w:spacing w:before="30" w:after="30"/>
            </w:pPr>
            <w:r>
              <w:rPr>
                <w:rFonts w:ascii="仿宋_GB2312" w:hAnsi="仿宋_GB2312" w:cs="仿宋_GB2312" w:eastAsia="仿宋_GB2312"/>
                <w:sz w:val="12"/>
              </w:rPr>
              <w:t>4.申请人（个人消费者或销售企业）填报材料不清晰、有缺漏或填写信息错误等，应及时退回并标注退回原因，指导申请人尽快完成信息补正，避免因信息补正不及时而发生纠纷。</w:t>
            </w:r>
          </w:p>
          <w:p>
            <w:pPr>
              <w:pStyle w:val="null3"/>
              <w:spacing w:before="30" w:after="30"/>
            </w:pPr>
            <w:r>
              <w:rPr>
                <w:rFonts w:ascii="仿宋_GB2312" w:hAnsi="仿宋_GB2312" w:cs="仿宋_GB2312" w:eastAsia="仿宋_GB2312"/>
                <w:sz w:val="12"/>
              </w:rPr>
              <w:t>5.严格依据《陕西省加力扩围实施消费品以旧换新工作方案》（陕商发〔2025〕4号）和《2025年西安市加力扩围消费品以旧换新政策措施及实施方案的通知》（市商发〔2025〕2号）等一系列有关文件（如果相关政策措施有更新，以上补贴范围、补贴标准和补贴方式以最新政策措施为准）要求组织开展审核工作，并对审核结果负责，确保有资格的申请人能够享受到补贴、享受到补贴的申请人的确符合相关要求；要严格把关，对上传申请及相关资料的真实性进行审核，严防虚假交易、跨地区重复购买、大量囤货、骗补套补、重复领取等行为，严防利用补贴政策倒买倒卖补贴产品的行为。</w:t>
            </w:r>
          </w:p>
          <w:p>
            <w:pPr>
              <w:pStyle w:val="null3"/>
              <w:spacing w:before="30" w:after="30"/>
            </w:pPr>
            <w:r>
              <w:rPr>
                <w:rFonts w:ascii="仿宋_GB2312" w:hAnsi="仿宋_GB2312" w:cs="仿宋_GB2312" w:eastAsia="仿宋_GB2312"/>
                <w:sz w:val="12"/>
              </w:rPr>
              <w:t>6.对每轮初核、复核通过的信息，按照每户企业（市场主体）信息提交条数5％的比例进行电话抽查审核，进一步核实交易真实性。对审核过程中发现的销售额明显过高或资料存疑的，成交供应商可到销售企业进行现场核查。</w:t>
            </w:r>
          </w:p>
          <w:p>
            <w:pPr>
              <w:pStyle w:val="null3"/>
              <w:spacing w:before="30" w:after="30"/>
            </w:pPr>
            <w:r>
              <w:rPr>
                <w:rFonts w:ascii="仿宋_GB2312" w:hAnsi="仿宋_GB2312" w:cs="仿宋_GB2312" w:eastAsia="仿宋_GB2312"/>
                <w:sz w:val="12"/>
              </w:rPr>
              <w:t>7.项目完成后，及时汇报项目审核情况，并以书面形式提交规范、完整的审核报告（附核查明细），并确保审核报告的真实性、准确性和合法性。</w:t>
            </w:r>
          </w:p>
          <w:p>
            <w:pPr>
              <w:pStyle w:val="null3"/>
              <w:spacing w:before="30" w:after="30"/>
            </w:pPr>
            <w:r>
              <w:rPr>
                <w:rFonts w:ascii="仿宋_GB2312" w:hAnsi="仿宋_GB2312" w:cs="仿宋_GB2312" w:eastAsia="仿宋_GB2312"/>
                <w:sz w:val="12"/>
              </w:rPr>
              <w:t>三、人员要求</w:t>
            </w:r>
          </w:p>
          <w:p>
            <w:pPr>
              <w:pStyle w:val="null3"/>
              <w:spacing w:before="30" w:after="30"/>
            </w:pPr>
            <w:r>
              <w:rPr>
                <w:rFonts w:ascii="仿宋_GB2312" w:hAnsi="仿宋_GB2312" w:cs="仿宋_GB2312" w:eastAsia="仿宋_GB2312"/>
                <w:sz w:val="12"/>
              </w:rPr>
              <w:t>1.须成立合理的组织机构，建立保障项目顺利实施的各项管理制度和质量保证体系。</w:t>
            </w:r>
          </w:p>
          <w:p>
            <w:pPr>
              <w:pStyle w:val="null3"/>
              <w:spacing w:before="30" w:after="30"/>
            </w:pPr>
            <w:r>
              <w:rPr>
                <w:rFonts w:ascii="仿宋_GB2312" w:hAnsi="仿宋_GB2312" w:cs="仿宋_GB2312" w:eastAsia="仿宋_GB2312"/>
                <w:sz w:val="12"/>
              </w:rPr>
              <w:t>2..项目负责人员应具备丰富的项目管理经验及类似项目的审核经验，具有预见和应对项目的风险能力。供应商应承诺在项目验收前，项目团队的骨干人员应保持稳定。</w:t>
            </w:r>
          </w:p>
          <w:p>
            <w:pPr>
              <w:pStyle w:val="null3"/>
              <w:spacing w:before="30" w:after="30"/>
            </w:pPr>
            <w:r>
              <w:rPr>
                <w:rFonts w:ascii="仿宋_GB2312" w:hAnsi="仿宋_GB2312" w:cs="仿宋_GB2312" w:eastAsia="仿宋_GB2312"/>
                <w:sz w:val="12"/>
              </w:rPr>
              <w:t>3.按照项目实施要求，须建立科学高效的组织架构，在项目组织中应明确各岗位的职责，确保审核工作顺利实施。</w:t>
            </w:r>
          </w:p>
          <w:p>
            <w:pPr>
              <w:pStyle w:val="null3"/>
              <w:spacing w:before="30" w:after="30"/>
            </w:pPr>
            <w:r>
              <w:rPr>
                <w:rFonts w:ascii="仿宋_GB2312" w:hAnsi="仿宋_GB2312" w:cs="仿宋_GB2312" w:eastAsia="仿宋_GB2312"/>
                <w:sz w:val="12"/>
              </w:rPr>
              <w:t>四、商务要求</w:t>
            </w:r>
          </w:p>
          <w:p>
            <w:pPr>
              <w:pStyle w:val="null3"/>
              <w:spacing w:before="30" w:after="30"/>
            </w:pPr>
            <w:r>
              <w:rPr>
                <w:rFonts w:ascii="仿宋_GB2312" w:hAnsi="仿宋_GB2312" w:cs="仿宋_GB2312" w:eastAsia="仿宋_GB2312"/>
                <w:sz w:val="12"/>
              </w:rPr>
              <w:t>服务期限：自合同签订之日起至2026年1月31日。（如需顺延的，顺延至项目全部完成之日）</w:t>
            </w:r>
          </w:p>
          <w:p>
            <w:pPr>
              <w:pStyle w:val="null3"/>
              <w:spacing w:before="30" w:after="30"/>
            </w:pPr>
            <w:r>
              <w:rPr>
                <w:rFonts w:ascii="仿宋_GB2312" w:hAnsi="仿宋_GB2312" w:cs="仿宋_GB2312" w:eastAsia="仿宋_GB2312"/>
                <w:sz w:val="12"/>
              </w:rPr>
              <w:t>五、服务要求</w:t>
            </w:r>
          </w:p>
          <w:p>
            <w:pPr>
              <w:pStyle w:val="null3"/>
              <w:spacing w:before="30" w:after="30"/>
            </w:pPr>
            <w:r>
              <w:rPr>
                <w:rFonts w:ascii="仿宋_GB2312" w:hAnsi="仿宋_GB2312" w:cs="仿宋_GB2312" w:eastAsia="仿宋_GB2312"/>
                <w:sz w:val="12"/>
              </w:rPr>
              <w:t>1.时限要求。除汽车类的需按照要求完成阶段性审核工作，提交阶段性审核报告（包括审核通过的补贴名单、补贴金额及审核不通过的名单和原因）外，其他4类需在发放完消费券后一个月内完成审核工作并出具审核工作报告，以保证补贴资金能够及时、准确地发放，提高项目的执行效率。（以上为暂定，实际执行过程以最新要求为准）。</w:t>
            </w:r>
          </w:p>
          <w:p>
            <w:pPr>
              <w:pStyle w:val="null3"/>
              <w:spacing w:before="30" w:after="30"/>
            </w:pPr>
            <w:r>
              <w:rPr>
                <w:rFonts w:ascii="仿宋_GB2312" w:hAnsi="仿宋_GB2312" w:cs="仿宋_GB2312" w:eastAsia="仿宋_GB2312"/>
                <w:sz w:val="12"/>
              </w:rPr>
              <w:t>2.汇总统计。乙方应在合同签订后立即启动审核工作，每周以书面形式向甲方报送审核进度（包括信息审核总条数，通过条数、未通过条数，及未通过原因，异常交易情况等）。汇总报送时间由经开区商务局视情调整。</w:t>
            </w:r>
          </w:p>
          <w:p>
            <w:pPr>
              <w:pStyle w:val="null3"/>
              <w:spacing w:before="30" w:after="30"/>
            </w:pPr>
            <w:r>
              <w:rPr>
                <w:rFonts w:ascii="仿宋_GB2312" w:hAnsi="仿宋_GB2312" w:cs="仿宋_GB2312" w:eastAsia="仿宋_GB2312"/>
                <w:sz w:val="12"/>
              </w:rPr>
              <w:t>3.补正信息。申请人（个人消费者或销售企业）填报材料不清晰、有缺漏或填写信息错误等，应及时退回并标注退回原因，指导申请人尽快完成信息补正，避免因信息补正不及时而发生纠纷。</w:t>
            </w:r>
          </w:p>
          <w:p>
            <w:pPr>
              <w:pStyle w:val="null3"/>
              <w:spacing w:before="30" w:after="30"/>
            </w:pPr>
            <w:r>
              <w:rPr>
                <w:rFonts w:ascii="仿宋_GB2312" w:hAnsi="仿宋_GB2312" w:cs="仿宋_GB2312" w:eastAsia="仿宋_GB2312"/>
                <w:sz w:val="12"/>
              </w:rPr>
              <w:t>4.严格审核。被委托方应严格依据《陕西省加力扩围实施消费品以旧换新工作方案》（陕商发〔2025〕4号）和《2025年西安市加力扩围消费品以旧换新政策措施及实施方案的通知》（市商发〔2025〕2号）等一系列有关文件要求组织开展审核工作（如果相关政策措施有更新，以最新政策措施要求为准），并对审核结果负责，确保有资格的申请人能够享受到补贴、享受到补贴的申请人的确符合相关要求；要严格把关，对上传申请及相关资料的真实性逐一进行审核，严防虚假交易、跨地区重复购买、大量囤货、骗补套补、重复领取等行为，严防利用补贴政策倒买倒卖补贴产品的行为，一经发现要及时报经开区商务局。本项目涉及资金量大，原则上不允许出现审核错误、审核失误情况发生。对因审核把关不严，审核错误导致的不良后果由成交供应商承担，已拨付的补贴资金要按要求追回。</w:t>
            </w:r>
          </w:p>
          <w:p>
            <w:pPr>
              <w:pStyle w:val="null3"/>
              <w:spacing w:before="30" w:after="30"/>
            </w:pPr>
            <w:r>
              <w:rPr>
                <w:rFonts w:ascii="仿宋_GB2312" w:hAnsi="仿宋_GB2312" w:cs="仿宋_GB2312" w:eastAsia="仿宋_GB2312"/>
                <w:sz w:val="12"/>
              </w:rPr>
              <w:t>5.电话抽查、实地抽查。成交供应商应对每轮初核、复核通过的信息，按照每户企业（市场主体）信息提交条数5％的比例进行电话抽查审核，进一步核实交易真实性。对审核过程中发现的销售额明显过高或资料存疑的，成交供应商可到销售企业进行现场核查。</w:t>
            </w:r>
          </w:p>
          <w:p>
            <w:pPr>
              <w:pStyle w:val="null3"/>
              <w:spacing w:before="30" w:after="30"/>
            </w:pPr>
            <w:r>
              <w:rPr>
                <w:rFonts w:ascii="仿宋_GB2312" w:hAnsi="仿宋_GB2312" w:cs="仿宋_GB2312" w:eastAsia="仿宋_GB2312"/>
                <w:sz w:val="12"/>
              </w:rPr>
              <w:t>6.审核报告提交。项目完成后，及时汇报项目审核情况，并以书面形式提交规范、完整的审核报告（附核查明细），并确保审核报告的真实性、准确性和合法性。</w:t>
            </w:r>
          </w:p>
          <w:p>
            <w:pPr>
              <w:pStyle w:val="null3"/>
              <w:jc w:val="both"/>
            </w:pPr>
            <w:r>
              <w:rPr>
                <w:rFonts w:ascii="仿宋_GB2312" w:hAnsi="仿宋_GB2312" w:cs="仿宋_GB2312" w:eastAsia="仿宋_GB2312"/>
                <w:sz w:val="12"/>
              </w:rPr>
              <w:t>7.保密要求。被委托方应承担保密责任。要严格控制系统平台账号、密码的知悉范围，非该项工作的主管人员和经办人员不得掌握和使用。原则上应固定办公场所、固定电脑等设施设备登陆、使用该账号。有关资料应妥善保管不得遗失，不得私自下载留存、擅自传播等，并待完成委托后全部移交或彻底销毁。</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spacing w:before="30" w:after="30"/>
            </w:pPr>
            <w:r>
              <w:rPr>
                <w:rFonts w:ascii="仿宋_GB2312" w:hAnsi="仿宋_GB2312" w:cs="仿宋_GB2312" w:eastAsia="仿宋_GB2312"/>
                <w:sz w:val="12"/>
              </w:rPr>
              <w:t>报价要求及结算方式：</w:t>
            </w:r>
          </w:p>
          <w:p>
            <w:pPr>
              <w:pStyle w:val="null3"/>
              <w:spacing w:before="30" w:after="30"/>
            </w:pPr>
            <w:r>
              <w:rPr>
                <w:rFonts w:ascii="仿宋_GB2312" w:hAnsi="仿宋_GB2312" w:cs="仿宋_GB2312" w:eastAsia="仿宋_GB2312"/>
                <w:sz w:val="12"/>
              </w:rPr>
              <w:t>1.报价要求：供应商报价时结合以下三类单价限价统一报优惠率。</w:t>
            </w:r>
          </w:p>
          <w:p>
            <w:pPr>
              <w:pStyle w:val="null3"/>
              <w:jc w:val="both"/>
            </w:pPr>
            <w:r>
              <w:rPr>
                <w:rFonts w:ascii="仿宋_GB2312" w:hAnsi="仿宋_GB2312" w:cs="仿宋_GB2312" w:eastAsia="仿宋_GB2312"/>
                <w:sz w:val="12"/>
              </w:rPr>
              <w:t>2.结算方式：按以下三类品目最终审核单量与成交优惠率，采用差额定律累进法据实</w:t>
            </w:r>
            <w:r>
              <w:rPr>
                <w:rFonts w:ascii="仿宋_GB2312" w:hAnsi="仿宋_GB2312" w:cs="仿宋_GB2312" w:eastAsia="仿宋_GB2312"/>
                <w:sz w:val="12"/>
              </w:rPr>
              <w:t>结算</w:t>
            </w:r>
            <w:r>
              <w:rPr>
                <w:rFonts w:ascii="仿宋_GB2312" w:hAnsi="仿宋_GB2312" w:cs="仿宋_GB2312" w:eastAsia="仿宋_GB2312"/>
                <w:sz w:val="12"/>
              </w:rPr>
              <w:t>，计算方式如下：如汽车类最终审核单量为</w:t>
            </w:r>
            <w:r>
              <w:rPr>
                <w:rFonts w:ascii="仿宋_GB2312" w:hAnsi="仿宋_GB2312" w:cs="仿宋_GB2312" w:eastAsia="仿宋_GB2312"/>
                <w:sz w:val="12"/>
              </w:rPr>
              <w:t>28000单，则汽车类审核最终结算价为：【10000×6+10000×4+8000×2.5】×（1-</w:t>
            </w:r>
            <w:r>
              <w:rPr>
                <w:rFonts w:ascii="仿宋_GB2312" w:hAnsi="仿宋_GB2312" w:cs="仿宋_GB2312" w:eastAsia="仿宋_GB2312"/>
                <w:sz w:val="12"/>
              </w:rPr>
              <w:t>成交优惠率</w:t>
            </w:r>
            <w:r>
              <w:rPr>
                <w:rFonts w:ascii="仿宋_GB2312" w:hAnsi="仿宋_GB2312" w:cs="仿宋_GB2312" w:eastAsia="仿宋_GB2312"/>
                <w:sz w:val="12"/>
              </w:rPr>
              <w:t>），以此类推；如最终审核单量超过预计全年单量，则超出部分的结算价计算基数按最大单量对应的单价限价</w:t>
            </w:r>
            <w:r>
              <w:rPr>
                <w:rFonts w:ascii="仿宋_GB2312" w:hAnsi="仿宋_GB2312" w:cs="仿宋_GB2312" w:eastAsia="仿宋_GB2312"/>
                <w:sz w:val="12"/>
              </w:rPr>
              <w:t>×（1-成交优惠率）结算，如汽车类最终审核单量为45000单，则汽车类审核最终结算价为：【10000×6+10000×4+10000×2.5+15000×2.0】×（1-</w:t>
            </w:r>
            <w:r>
              <w:rPr>
                <w:rFonts w:ascii="仿宋_GB2312" w:hAnsi="仿宋_GB2312" w:cs="仿宋_GB2312" w:eastAsia="仿宋_GB2312"/>
                <w:sz w:val="12"/>
              </w:rPr>
              <w:t>成交优惠率</w:t>
            </w:r>
            <w:r>
              <w:rPr>
                <w:rFonts w:ascii="仿宋_GB2312" w:hAnsi="仿宋_GB2312" w:cs="仿宋_GB2312" w:eastAsia="仿宋_GB2312"/>
                <w:sz w:val="12"/>
              </w:rPr>
              <w:t>）</w:t>
            </w:r>
            <w:r>
              <w:rPr>
                <w:rFonts w:ascii="仿宋_GB2312" w:hAnsi="仿宋_GB2312" w:cs="仿宋_GB2312" w:eastAsia="仿宋_GB2312"/>
                <w:sz w:val="12"/>
              </w:rPr>
              <w:t>，</w:t>
            </w:r>
            <w:r>
              <w:rPr>
                <w:rFonts w:ascii="仿宋_GB2312" w:hAnsi="仿宋_GB2312" w:cs="仿宋_GB2312" w:eastAsia="仿宋_GB2312"/>
                <w:sz w:val="12"/>
              </w:rPr>
              <w:t>以此类推</w:t>
            </w:r>
            <w:r>
              <w:rPr>
                <w:rFonts w:ascii="仿宋_GB2312" w:hAnsi="仿宋_GB2312" w:cs="仿宋_GB2312" w:eastAsia="仿宋_GB2312"/>
                <w:sz w:val="12"/>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spacing w:before="30" w:after="30"/>
            </w:pPr>
            <w:r>
              <w:rPr>
                <w:rFonts w:ascii="仿宋_GB2312" w:hAnsi="仿宋_GB2312" w:cs="仿宋_GB2312" w:eastAsia="仿宋_GB2312"/>
                <w:sz w:val="12"/>
              </w:rPr>
              <w:t>最高限价与预计审核单量：</w:t>
            </w:r>
          </w:p>
          <w:p>
            <w:pPr>
              <w:pStyle w:val="null3"/>
              <w:numPr>
                <w:ilvl w:val="0"/>
                <w:numId w:val="1"/>
              </w:numPr>
              <w:spacing w:before="30" w:after="30"/>
            </w:pPr>
            <w:r>
              <w:rPr>
                <w:rFonts w:ascii="仿宋_GB2312" w:hAnsi="仿宋_GB2312" w:cs="仿宋_GB2312" w:eastAsia="仿宋_GB2312"/>
                <w:sz w:val="12"/>
              </w:rPr>
              <w:t>汽车类：</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285"/>
              <w:gridCol w:w="361"/>
              <w:gridCol w:w="348"/>
              <w:gridCol w:w="328"/>
              <w:gridCol w:w="308"/>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预计全年单量</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分档情况</w:t>
                  </w:r>
                </w:p>
                <w:p>
                  <w:pPr>
                    <w:pStyle w:val="null3"/>
                    <w:spacing w:before="180"/>
                    <w:ind w:left="180"/>
                    <w:jc w:val="center"/>
                  </w:pPr>
                  <w:r>
                    <w:rPr>
                      <w:rFonts w:ascii="仿宋_GB2312" w:hAnsi="仿宋_GB2312" w:cs="仿宋_GB2312" w:eastAsia="仿宋_GB2312"/>
                      <w:sz w:val="12"/>
                    </w:rPr>
                    <w:t>(单量为x)</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x≤10000</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left="315" w:right="315" w:firstLine="89"/>
                    <w:jc w:val="center"/>
                  </w:pPr>
                  <w:r>
                    <w:rPr>
                      <w:rFonts w:ascii="仿宋_GB2312" w:hAnsi="仿宋_GB2312" w:cs="仿宋_GB2312" w:eastAsia="仿宋_GB2312"/>
                      <w:sz w:val="12"/>
                    </w:rPr>
                    <w:t>10000&lt;  x≤20000</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240" w:right="255" w:firstLine="90"/>
                    <w:jc w:val="center"/>
                  </w:pPr>
                  <w:r>
                    <w:rPr>
                      <w:rFonts w:ascii="仿宋_GB2312" w:hAnsi="仿宋_GB2312" w:cs="仿宋_GB2312" w:eastAsia="仿宋_GB2312"/>
                      <w:sz w:val="12"/>
                    </w:rPr>
                    <w:t>20000&lt;  x≤30000</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65" w:right="165" w:firstLine="89"/>
                    <w:jc w:val="center"/>
                  </w:pPr>
                  <w:r>
                    <w:rPr>
                      <w:rFonts w:ascii="仿宋_GB2312" w:hAnsi="仿宋_GB2312" w:cs="仿宋_GB2312" w:eastAsia="仿宋_GB2312"/>
                      <w:sz w:val="12"/>
                    </w:rPr>
                    <w:t>30000&lt;  x≤40000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4万单</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12"/>
                    </w:rPr>
                    <w:t>单价限价</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10"/>
                    <w:jc w:val="center"/>
                  </w:pPr>
                  <w:r>
                    <w:rPr>
                      <w:rFonts w:ascii="仿宋_GB2312" w:hAnsi="仿宋_GB2312" w:cs="仿宋_GB2312" w:eastAsia="仿宋_GB2312"/>
                      <w:sz w:val="12"/>
                    </w:rPr>
                    <w:t>6元/单</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405"/>
                    <w:jc w:val="center"/>
                  </w:pPr>
                  <w:r>
                    <w:rPr>
                      <w:rFonts w:ascii="仿宋_GB2312" w:hAnsi="仿宋_GB2312" w:cs="仿宋_GB2312" w:eastAsia="仿宋_GB2312"/>
                      <w:sz w:val="12"/>
                    </w:rPr>
                    <w:t>4元/单</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40"/>
                    <w:jc w:val="center"/>
                  </w:pPr>
                  <w:r>
                    <w:rPr>
                      <w:rFonts w:ascii="仿宋_GB2312" w:hAnsi="仿宋_GB2312" w:cs="仿宋_GB2312" w:eastAsia="仿宋_GB2312"/>
                      <w:sz w:val="12"/>
                    </w:rPr>
                    <w:t>2.5元/单</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center"/>
                  </w:pPr>
                  <w:r>
                    <w:rPr>
                      <w:rFonts w:ascii="仿宋_GB2312" w:hAnsi="仿宋_GB2312" w:cs="仿宋_GB2312" w:eastAsia="仿宋_GB2312"/>
                      <w:sz w:val="12"/>
                    </w:rPr>
                    <w:t>2元/单</w:t>
                  </w:r>
                </w:p>
              </w:tc>
            </w:tr>
          </w:tbl>
          <w:p>
            <w:pPr>
              <w:pStyle w:val="null3"/>
              <w:numPr>
                <w:ilvl w:val="0"/>
                <w:numId w:val="1"/>
              </w:numPr>
              <w:spacing w:before="30" w:after="30"/>
            </w:pPr>
            <w:r>
              <w:rPr>
                <w:rFonts w:ascii="仿宋_GB2312" w:hAnsi="仿宋_GB2312" w:cs="仿宋_GB2312" w:eastAsia="仿宋_GB2312"/>
                <w:sz w:val="12"/>
              </w:rPr>
              <w:t>电动自行车类：</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285"/>
              <w:gridCol w:w="361"/>
              <w:gridCol w:w="348"/>
              <w:gridCol w:w="328"/>
              <w:gridCol w:w="308"/>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预计全年单量</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分档情况</w:t>
                  </w:r>
                </w:p>
                <w:p>
                  <w:pPr>
                    <w:pStyle w:val="null3"/>
                    <w:spacing w:before="180"/>
                    <w:ind w:left="180"/>
                    <w:jc w:val="center"/>
                  </w:pPr>
                  <w:r>
                    <w:rPr>
                      <w:rFonts w:ascii="仿宋_GB2312" w:hAnsi="仿宋_GB2312" w:cs="仿宋_GB2312" w:eastAsia="仿宋_GB2312"/>
                      <w:sz w:val="12"/>
                    </w:rPr>
                    <w:t>(单量为x)</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40"/>
                    <w:jc w:val="center"/>
                  </w:pPr>
                  <w:r>
                    <w:rPr>
                      <w:rFonts w:ascii="仿宋_GB2312" w:hAnsi="仿宋_GB2312" w:cs="仿宋_GB2312" w:eastAsia="仿宋_GB2312"/>
                      <w:sz w:val="12"/>
                    </w:rPr>
                    <w:t>x≤100</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10"/>
                    <w:jc w:val="center"/>
                  </w:pPr>
                  <w:r>
                    <w:rPr>
                      <w:rFonts w:ascii="仿宋_GB2312" w:hAnsi="仿宋_GB2312" w:cs="仿宋_GB2312" w:eastAsia="仿宋_GB2312"/>
                      <w:sz w:val="12"/>
                    </w:rPr>
                    <w:t>100&lt;x≤200</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50"/>
                    <w:jc w:val="center"/>
                  </w:pPr>
                  <w:r>
                    <w:rPr>
                      <w:rFonts w:ascii="仿宋_GB2312" w:hAnsi="仿宋_GB2312" w:cs="仿宋_GB2312" w:eastAsia="仿宋_GB2312"/>
                      <w:sz w:val="12"/>
                    </w:rPr>
                    <w:t>200&lt;x≤300</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35"/>
                    <w:jc w:val="center"/>
                  </w:pPr>
                  <w:r>
                    <w:rPr>
                      <w:rFonts w:ascii="仿宋_GB2312" w:hAnsi="仿宋_GB2312" w:cs="仿宋_GB2312" w:eastAsia="仿宋_GB2312"/>
                      <w:sz w:val="12"/>
                    </w:rPr>
                    <w:t>300&lt;x≤500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500单</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12"/>
                    </w:rPr>
                    <w:t>单价限价</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35"/>
                    <w:jc w:val="center"/>
                  </w:pPr>
                  <w:r>
                    <w:rPr>
                      <w:rFonts w:ascii="仿宋_GB2312" w:hAnsi="仿宋_GB2312" w:cs="仿宋_GB2312" w:eastAsia="仿宋_GB2312"/>
                      <w:sz w:val="12"/>
                    </w:rPr>
                    <w:t>2.5元/单</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90"/>
                    <w:jc w:val="center"/>
                  </w:pPr>
                  <w:r>
                    <w:rPr>
                      <w:rFonts w:ascii="仿宋_GB2312" w:hAnsi="仿宋_GB2312" w:cs="仿宋_GB2312" w:eastAsia="仿宋_GB2312"/>
                      <w:sz w:val="12"/>
                    </w:rPr>
                    <w:t>2元/单</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40"/>
                    <w:jc w:val="center"/>
                  </w:pPr>
                  <w:r>
                    <w:rPr>
                      <w:rFonts w:ascii="仿宋_GB2312" w:hAnsi="仿宋_GB2312" w:cs="仿宋_GB2312" w:eastAsia="仿宋_GB2312"/>
                      <w:sz w:val="12"/>
                    </w:rPr>
                    <w:t>1.5元/单</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15"/>
                    <w:jc w:val="center"/>
                  </w:pPr>
                  <w:r>
                    <w:rPr>
                      <w:rFonts w:ascii="仿宋_GB2312" w:hAnsi="仿宋_GB2312" w:cs="仿宋_GB2312" w:eastAsia="仿宋_GB2312"/>
                      <w:sz w:val="12"/>
                    </w:rPr>
                    <w:t>1元/单</w:t>
                  </w:r>
                </w:p>
              </w:tc>
            </w:tr>
          </w:tbl>
          <w:p>
            <w:pPr>
              <w:pStyle w:val="null3"/>
              <w:numPr>
                <w:ilvl w:val="0"/>
                <w:numId w:val="1"/>
              </w:numPr>
              <w:spacing w:before="30" w:after="30"/>
            </w:pPr>
            <w:r>
              <w:rPr>
                <w:rFonts w:ascii="仿宋_GB2312" w:hAnsi="仿宋_GB2312" w:cs="仿宋_GB2312" w:eastAsia="仿宋_GB2312"/>
                <w:sz w:val="12"/>
              </w:rPr>
              <w:t>家电、3C、 家装类：</w:t>
            </w:r>
          </w:p>
          <w:p>
            <w:pPr>
              <w:pStyle w:val="null3"/>
              <w:spacing w:before="30" w:after="30"/>
            </w:pPr>
            <w:r>
              <w:rPr>
                <w:rFonts w:ascii="仿宋_GB2312" w:hAnsi="仿宋_GB2312" w:cs="仿宋_GB2312" w:eastAsia="仿宋_GB2312"/>
                <w:sz w:val="12"/>
              </w:rPr>
              <w:t>品类包括但不限于：</w:t>
            </w:r>
          </w:p>
          <w:p>
            <w:pPr>
              <w:pStyle w:val="null3"/>
              <w:spacing w:before="30" w:after="30"/>
            </w:pPr>
            <w:r>
              <w:rPr>
                <w:rFonts w:ascii="仿宋_GB2312" w:hAnsi="仿宋_GB2312" w:cs="仿宋_GB2312" w:eastAsia="仿宋_GB2312"/>
                <w:sz w:val="12"/>
              </w:rPr>
              <w:t>(1)、12类家电产品及32 类生活电器：冰箱、洗衣机、电视、空调、电脑、热水器、家用灶具、吸油烟机、微波炉、净水器、洗碗机、电饭煲、按摩椅、跑步机、理疗仪、投影仪、打印机、学习机、除湿机、加湿器、音响设备、空气净化器、新风系统、风扇、电暖器、冷柜、吸尘器、洗地机、扫地机器人、干衣机、挂烫机、衣物护理机、吹风机、消毒柜、垃圾处理机、电磁炉、电烤箱、管线机、净饮机、咖啡机、面条机、面包机、破壁机、厨师机。</w:t>
            </w:r>
          </w:p>
          <w:p>
            <w:pPr>
              <w:pStyle w:val="null3"/>
              <w:spacing w:before="30" w:after="30"/>
            </w:pPr>
            <w:r>
              <w:rPr>
                <w:rFonts w:ascii="仿宋_GB2312" w:hAnsi="仿宋_GB2312" w:cs="仿宋_GB2312" w:eastAsia="仿宋_GB2312"/>
                <w:sz w:val="12"/>
              </w:rPr>
              <w:t>（2）、手机、平板、智能手表等3类数码产品。</w:t>
            </w:r>
          </w:p>
          <w:p>
            <w:pPr>
              <w:pStyle w:val="null3"/>
              <w:spacing w:before="30" w:after="30"/>
            </w:pPr>
            <w:r>
              <w:rPr>
                <w:rFonts w:ascii="仿宋_GB2312" w:hAnsi="仿宋_GB2312" w:cs="仿宋_GB2312" w:eastAsia="仿宋_GB2312"/>
                <w:sz w:val="12"/>
              </w:rPr>
              <w:t>（3）、卫生洁具、家具照明、智能家居、居家适老化4大类22小类产品进行补贴。卫生洁具包含马桶、台盆、浴缸、淋浴器4类产品；家具照明包含沙发、床品、床上用品、桌椅、柜子、灯具6类产品；智能家居包含智能坐便器、智能门锁、智能家居控制系统3类产品；居家适老化产品包含老年人护理床、轮椅、自动感应灯具、闪光振动门铃、助听器、制氧机、呼吸机、血压计、血糖仪9类适老化产品。</w:t>
            </w:r>
          </w:p>
          <w:tbl>
            <w:tblPr>
              <w:tblInd w:type="dxa" w:w="120"/>
              <w:tblBorders>
                <w:top w:val="none" w:color="000000" w:sz="4"/>
                <w:left w:val="none" w:color="000000" w:sz="4"/>
                <w:bottom w:val="none" w:color="000000" w:sz="4"/>
                <w:right w:val="none" w:color="000000" w:sz="4"/>
                <w:insideH w:val="none"/>
                <w:insideV w:val="none"/>
              </w:tblBorders>
            </w:tblPr>
            <w:tblGrid>
              <w:gridCol w:w="214"/>
              <w:gridCol w:w="283"/>
              <w:gridCol w:w="302"/>
              <w:gridCol w:w="293"/>
              <w:gridCol w:w="377"/>
              <w:gridCol w:w="38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预计全年单量</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分档情况</w:t>
                  </w:r>
                </w:p>
                <w:p>
                  <w:pPr>
                    <w:pStyle w:val="null3"/>
                    <w:spacing w:before="180"/>
                    <w:ind w:left="180"/>
                    <w:jc w:val="center"/>
                  </w:pPr>
                  <w:r>
                    <w:rPr>
                      <w:rFonts w:ascii="仿宋_GB2312" w:hAnsi="仿宋_GB2312" w:cs="仿宋_GB2312" w:eastAsia="仿宋_GB2312"/>
                      <w:sz w:val="12"/>
                    </w:rPr>
                    <w:t>(单量为x)</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60"/>
                    <w:jc w:val="center"/>
                  </w:pPr>
                  <w:r>
                    <w:rPr>
                      <w:rFonts w:ascii="仿宋_GB2312" w:hAnsi="仿宋_GB2312" w:cs="仿宋_GB2312" w:eastAsia="仿宋_GB2312"/>
                      <w:sz w:val="12"/>
                    </w:rPr>
                    <w:t>x≤30万单</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right="195"/>
                    <w:jc w:val="both"/>
                  </w:pPr>
                  <w:r>
                    <w:rPr>
                      <w:rFonts w:ascii="仿宋_GB2312" w:hAnsi="仿宋_GB2312" w:cs="仿宋_GB2312" w:eastAsia="仿宋_GB2312"/>
                      <w:sz w:val="12"/>
                    </w:rPr>
                    <w:t>30万单&lt; x≤50万单</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495" w:right="90"/>
                    <w:jc w:val="both"/>
                  </w:pPr>
                  <w:r>
                    <w:rPr>
                      <w:rFonts w:ascii="仿宋_GB2312" w:hAnsi="仿宋_GB2312" w:cs="仿宋_GB2312" w:eastAsia="仿宋_GB2312"/>
                      <w:sz w:val="12"/>
                    </w:rPr>
                    <w:t>50万单&lt;x≤70 万单</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65" w:right="165" w:firstLine="149"/>
                    <w:jc w:val="center"/>
                  </w:pPr>
                  <w:r>
                    <w:rPr>
                      <w:rFonts w:ascii="仿宋_GB2312" w:hAnsi="仿宋_GB2312" w:cs="仿宋_GB2312" w:eastAsia="仿宋_GB2312"/>
                      <w:sz w:val="12"/>
                    </w:rPr>
                    <w:t>70万单&lt;  x≤100万单</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180"/>
                    <w:jc w:val="center"/>
                  </w:pPr>
                  <w:r>
                    <w:rPr>
                      <w:rFonts w:ascii="仿宋_GB2312" w:hAnsi="仿宋_GB2312" w:cs="仿宋_GB2312" w:eastAsia="仿宋_GB2312"/>
                      <w:sz w:val="12"/>
                    </w:rPr>
                    <w:t>100万单</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12"/>
                    </w:rPr>
                    <w:t>单价限价</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05"/>
                    <w:jc w:val="center"/>
                  </w:pPr>
                  <w:r>
                    <w:rPr>
                      <w:rFonts w:ascii="仿宋_GB2312" w:hAnsi="仿宋_GB2312" w:cs="仿宋_GB2312" w:eastAsia="仿宋_GB2312"/>
                      <w:sz w:val="12"/>
                    </w:rPr>
                    <w:t>1.2元/单</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195"/>
                    <w:jc w:val="center"/>
                  </w:pPr>
                  <w:r>
                    <w:rPr>
                      <w:rFonts w:ascii="仿宋_GB2312" w:hAnsi="仿宋_GB2312" w:cs="仿宋_GB2312" w:eastAsia="仿宋_GB2312"/>
                      <w:sz w:val="12"/>
                    </w:rPr>
                    <w:t>0.95元/单</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40"/>
                    <w:jc w:val="both"/>
                  </w:pPr>
                  <w:r>
                    <w:rPr>
                      <w:rFonts w:ascii="仿宋_GB2312" w:hAnsi="仿宋_GB2312" w:cs="仿宋_GB2312" w:eastAsia="仿宋_GB2312"/>
                      <w:sz w:val="12"/>
                    </w:rPr>
                    <w:t>0.65元/单</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25"/>
                    <w:jc w:val="both"/>
                  </w:pPr>
                  <w:r>
                    <w:rPr>
                      <w:rFonts w:ascii="仿宋_GB2312" w:hAnsi="仿宋_GB2312" w:cs="仿宋_GB2312" w:eastAsia="仿宋_GB2312"/>
                      <w:sz w:val="12"/>
                    </w:rPr>
                    <w:t>0.35元/单</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1.须成立合理的组织机构，建立保障项目顺利实施的各项管理制度和质量保证体系，安排注册会计师参加本项目实施，并提供相关证明。审核工作组成人员须达到10人或10人以上。 2..项目负责人员应具备丰富的项目管理经验及类似项目的审核经验，具有预见和应对项目的风险能力。供应商应承诺在项目验收前，项目团队的骨干人员应保持稳定。 3.按照项目实施要求，须建立科学高效的组织架构，在项目组织中应明确各岗位的职责，确保审核工作顺利实施。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自合同签订之日起至2026年1月31日。（如需顺延的，顺延至项目全部完成之日）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达到国家、行业相关标准以及磋商文件要求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2025年7月结算2025年1-6月审核费用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2025年10月结算2025年7-9月审核费用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2025年10月-2026年1月审核费用，在第三方机构完成审计工作并出具项目审计报告后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财政主管部门审查核准颁发的《会计师事务所执业资格证书》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中小企业声明函 报价表 服务方案. 响应文件封面 资格证明文件 业绩证明材料 残疾人福利性单位声明函 标的清单 陕西省政府采购供应商拒绝政府采购领域商业贿赂承诺书 响应函 合同条款响应 监狱企业的证明文件 供应商认为有必要提供的其他内容</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报价表 服务方案. 响应文件封面 资格证明文件 业绩证明材料 残疾人福利性单位声明函 标的清单 陕西省政府采购供应商拒绝政府采购领域商业贿赂承诺书 响应函 合同条款响应 监狱企业的证明文件 供应商认为有必要提供的其他内容</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标的清单 报价表 响应函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 合同条款响应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审计服务方案</w:t>
            </w:r>
          </w:p>
        </w:tc>
        <w:tc>
          <w:tcPr>
            <w:tcW w:type="dxa" w:w="2492"/>
          </w:tcPr>
          <w:p>
            <w:pPr>
              <w:pStyle w:val="null3"/>
            </w:pPr>
            <w:r>
              <w:rPr>
                <w:rFonts w:ascii="仿宋_GB2312" w:hAnsi="仿宋_GB2312" w:cs="仿宋_GB2312" w:eastAsia="仿宋_GB2312"/>
              </w:rPr>
              <w:t>评审内容：1、审计工作的整体思路；2、审计服务目标及计划安排；3、审计服务流程；4、审计服务质量保障及措施。 评审依据：以上内容切合本项目实际情况，内容与要点相符、每个要点均能够描述详细，切实可行符合项目实际内容得16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每项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评审内容：1、项目的岗位设置；2、员工管理制度；3、档案管理制度。 评审依据：以上内容全面详细、阐述条理清晰详尽、符合本项目需求、能有效保障本项目实施的得12分；评审内容任意一项缺项扣4分，扣完为止；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每项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拟派项目负责人：①具有5年及以上会计工作经验（提供连续5年或累计5年以上的劳动合同）得3分；②提供会计管理工作履历证明，加盖服务单位公章，得2分（证明包含：姓名、工作起止时间、工作岗位等信息）；③项目负责人为注册会计师且在本单位注册，得2分（提供证明材料）。 2、项目组人员组成：①项目组总人数满足10人或10人以上（含项目负责人）的得5分，人员总数不满足10人不得分； ②除项目负责人外，须有3名注册会计师或高级会计师，3名中级会计师，3名初级会计师。在此基础上每多增加一名注册会计师或高级会计师得2分，最多得6分；每多增加一名中级会计师得1分，最多得2分；每多增加一名初级会计师得0.5分，最多得1分。同一人员的不同资质可重复计算。（提供相应的资格证及2024年1月以来拟派人员在本单位缴纳三个月社保缴纳证明或劳动合同，未提供或有遗漏的不计入相应分值）</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风险防控方案</w:t>
            </w:r>
          </w:p>
        </w:tc>
        <w:tc>
          <w:tcPr>
            <w:tcW w:type="dxa" w:w="2492"/>
          </w:tcPr>
          <w:p>
            <w:pPr>
              <w:pStyle w:val="null3"/>
            </w:pPr>
            <w:r>
              <w:rPr>
                <w:rFonts w:ascii="仿宋_GB2312" w:hAnsi="仿宋_GB2312" w:cs="仿宋_GB2312" w:eastAsia="仿宋_GB2312"/>
              </w:rPr>
              <w:t>评审内容：1、审核过程中出现的各类风险分析（包含但不限于数据错误、欺诈行为、政策变化、信息泄露）；2、审核工作重难点控制措施；3、审核工作重难点控制制度。 评审依据：以上内容描述详细，切实可行符合项目实际内容得12分，内容任意一项缺项扣4分，扣完为止； 内容有缺陷（缺陷是指：内容不详细具体、条理不清晰、描述过于简单、与项目特点不匹配、凭空编造、出现常识性错误、不可能实现的夸大情形、存在不适用项目实际情况的情形等）每项扣2分。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供应商认为有必要提供的其他内容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审核保密工作方案</w:t>
            </w:r>
          </w:p>
        </w:tc>
        <w:tc>
          <w:tcPr>
            <w:tcW w:type="dxa" w:w="2492"/>
          </w:tcPr>
          <w:p>
            <w:pPr>
              <w:pStyle w:val="null3"/>
            </w:pPr>
            <w:r>
              <w:rPr>
                <w:rFonts w:ascii="仿宋_GB2312" w:hAnsi="仿宋_GB2312" w:cs="仿宋_GB2312" w:eastAsia="仿宋_GB2312"/>
              </w:rPr>
              <w:t>评审内容：1、保密防范措施；2、出现泄露秘密情况下的追责制度。 评审依据：以上内容全面详细、阐述条理清晰，能有效保障本项目实施得6分，每有一项缺项扣3分，扣完为止，内容有缺陷（缺陷是指：内容不详细具体、条理不清晰、描述过于简单、与项目特点不匹配、凭空编造、出现常识性错误、不可能实现的夸大情形、存在不适用项目实际情况的情形等）每项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特色化服务方案</w:t>
            </w:r>
          </w:p>
        </w:tc>
        <w:tc>
          <w:tcPr>
            <w:tcW w:type="dxa" w:w="2492"/>
          </w:tcPr>
          <w:p>
            <w:pPr>
              <w:pStyle w:val="null3"/>
            </w:pPr>
            <w:r>
              <w:rPr>
                <w:rFonts w:ascii="仿宋_GB2312" w:hAnsi="仿宋_GB2312" w:cs="仿宋_GB2312" w:eastAsia="仿宋_GB2312"/>
              </w:rPr>
              <w:t>评审内容：提供具有针对性、提升性的服务，有助于提升整体服务水平，并且适用于采购单位情况。 评审依据：内容全面详细、阐述条理清晰，能有效保障本项目实施得4分，内容有缺陷（缺陷是指：内容不详细具体、条理不清晰、描述过于简单、与项目特点不匹配、凭空编造、出现常识性错误、不可能实现的夸大情形、存在不适用项目实际情况的情形等）扣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评审内容：提供具有可行性、针对性的建议，有助于提升整体服务水平，并且适用于采购单位情况。 评审依据：内容全面详细、阐述条理清晰，可行性突出，全面完整得4分，内容有缺陷（缺陷是指：内容不详细具体、条理不清晰、描述过于简单、与项目特点不匹配、凭空编造、出现常识性错误、不可能实现的夸大情形、存在不适用项目实际情况的情形等）扣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供应商认为有必要提供的其他内容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评审内容：1、服务质量承诺；2、服务周期承诺；3、承诺验收前，项目团队的人员保持稳定。 评审依据：内容描述详细，切实可行符合项目实际内容得9分，每一项无承诺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供应商2022年1月1日（以合同签订时间为准）至本项目磋商响应文件递交截止时间止完成过的类似项目业绩，每提供一个得2分，最高得6分。 注：业绩以加盖公章的合同协议书的复印件为准，企业业绩和项目负责人业绩可重复计分。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详见附件：供应商认为有必要提供的其他内容</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