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4D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highlight w:val="none"/>
          <w:lang w:val="zh-CN"/>
        </w:rPr>
        <w:t>拟签订的合同条款</w:t>
      </w:r>
    </w:p>
    <w:p w14:paraId="38C51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人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全称，以下简称甲方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      </w:t>
      </w:r>
    </w:p>
    <w:p w14:paraId="70BE3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成交供应商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(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全称，以下简称乙方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)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</w:p>
    <w:p w14:paraId="496FC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按照《中华人民共和国民法典》、《中华人民共和国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政府采购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法》等法律、行政法规，遵循平等、自愿、公平和诚实信用的原则，双方就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>2018-2023年存量违法图斑和2024年新增违法图斑整改项目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订立本合同，双方达成如下协议：</w:t>
      </w:r>
    </w:p>
    <w:p w14:paraId="50321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概况</w:t>
      </w:r>
    </w:p>
    <w:p w14:paraId="673B79A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地点：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</w:t>
      </w:r>
    </w:p>
    <w:p w14:paraId="1EB828B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范围及规模：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                  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C46C8B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服务期限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 </w:t>
      </w:r>
    </w:p>
    <w:p w14:paraId="6A4BFA6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、质量标准：</w:t>
      </w:r>
    </w:p>
    <w:p w14:paraId="2D3C4CF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达到相关建设工程施工及验收规范“合格”标准；符合西安市建筑工地创卫达标条件和经开区环卫部门要求。</w:t>
      </w:r>
    </w:p>
    <w:p w14:paraId="2208CDF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验收标准：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清理后场地见黄土，表面自然平整、无任何建筑垃圾残留，达到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经开区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交地标准。</w:t>
      </w:r>
    </w:p>
    <w:p w14:paraId="58711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_GB2312" w:hAnsi="仿宋_GB2312" w:eastAsia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二、合同的组成部分</w:t>
      </w:r>
    </w:p>
    <w:p w14:paraId="446913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、成交供应商的响应文件；</w:t>
      </w:r>
    </w:p>
    <w:p w14:paraId="116D06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、磋商文件及澄清、修改等补充文件；</w:t>
      </w:r>
    </w:p>
    <w:p w14:paraId="1A361AA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、相关的国家、行业标准、规范</w:t>
      </w:r>
    </w:p>
    <w:p w14:paraId="592208F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、其他相关法律、法规等有关文件。</w:t>
      </w:r>
    </w:p>
    <w:p w14:paraId="51FCB94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三、双方的权利及义务</w:t>
      </w:r>
    </w:p>
    <w:p w14:paraId="5F9DB7F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、甲方的权利和义务</w:t>
      </w:r>
    </w:p>
    <w:p w14:paraId="0394BB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审核确认乙方施工组织设计或施工方案；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784555B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向乙方提供与工程有关的经开区管委会、街办等有关部门的各种必要的文件、报告、证明等资料；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1853BD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有权随时检查、监督现场及工程进度、质量和安全；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53088A1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有权要求乙方更换不称职的现场管理人员；</w:t>
      </w:r>
    </w:p>
    <w:p w14:paraId="40C6036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审核乙方的形象进度，核对、认定现场拆除实际工程量和垃圾渣土清运的运距；</w:t>
      </w:r>
    </w:p>
    <w:p w14:paraId="03E6187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负责工程质量验收；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F25971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审核乙方的工程结算书；</w:t>
      </w:r>
    </w:p>
    <w:p w14:paraId="1007B15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确保开工前动迁和搬家工作已完成，及时对拟拆除建筑物进行断电、断水、停气等，达到拆除施工条件；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3A09048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及时组织好拆除区域内的花草树木的砍伐、移植工作；</w:t>
      </w:r>
    </w:p>
    <w:p w14:paraId="4BE4BC9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根据合同约定按时支付工程款。</w:t>
      </w:r>
    </w:p>
    <w:p w14:paraId="1083F6A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、乙方的权利和义务</w:t>
      </w:r>
    </w:p>
    <w:p w14:paraId="0A9E0B4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根据合同条款约定的按时提出进度款申请、结算申请，并合法收取合同价款；</w:t>
      </w:r>
    </w:p>
    <w:p w14:paraId="2F64408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甲方未按合同约定提供必要的开工条件，造成乙方经济损失的，乙方有权提出索赔或工期顺延；</w:t>
      </w:r>
    </w:p>
    <w:p w14:paraId="65066D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2.3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乙方应在现场设置项目经理部，项目经理部常驻人员名单应在开工前向甲方提交；项目经理应具有二级建造师资格；本工程项目经理为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，注册证号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安全考核合格证号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5B508B6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未经甲方同意，乙方不得擅自更换其在响应文件中明确的的本工程施工负责人（项目经理）及管理机构人员；</w:t>
      </w:r>
    </w:p>
    <w:p w14:paraId="63F4C9C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2.5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根据工程实际编制并提交甲方审核的、能够指导施工的施工组织设计或施工方案，确保房屋拆除施工采用机械拆除、湿法作业，并提出切实可行的安全和环境保护的实施措施；</w:t>
      </w:r>
    </w:p>
    <w:p w14:paraId="5F055EB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接受甲方、监理人和各级建设主管部门的监督和管理；</w:t>
      </w:r>
    </w:p>
    <w:p w14:paraId="2C2D19A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按照合同的约定自行完成合同范围内的工程内容，不得将工程转包，确需分包个别子项时，须征得甲方同意；</w:t>
      </w:r>
    </w:p>
    <w:p w14:paraId="2B323B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不得随意拆除未明确拆除的设施和建筑物，在拆除过程中要注意保护好花草树木；</w:t>
      </w:r>
    </w:p>
    <w:p w14:paraId="5E583E7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拆除后的建筑垃圾、渣土采用机械装车，严格按有关部门的规定装载，严禁超载，要做好蓬盖、防抛撒措施；</w:t>
      </w:r>
    </w:p>
    <w:p w14:paraId="3DCEDDB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必须按规定将拆除的可回收利用物及时移交甲方，不得在现场随意堆放和处理；现场加强易燃、易爆物品的管理；</w:t>
      </w:r>
    </w:p>
    <w:p w14:paraId="2CC3EF4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要切实做好安全与文明施工，乙方要制定安全生产责任制，责任落实到人，乙方要与有关部门签订安全责任书，如发生安全问题完全由乙方负责；</w:t>
      </w:r>
    </w:p>
    <w:p w14:paraId="150BB36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要切实加强各类管线的防护工作，按甲方和管线单位的要求做好防护措施（各项防护措施费已包括在投标单价内，结算时不再另行计算）；</w:t>
      </w:r>
    </w:p>
    <w:p w14:paraId="3AAE24B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为保证合同的正常履行，确保拆除工程能按期保质量完成，保证拆除安全，达到环保要求，乙方向甲方交纳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万元作为履约及安全保证金。乙方有以下情形之一的，履约及安全保证金将被扣押或没收：</w:t>
      </w:r>
    </w:p>
    <w:p w14:paraId="4FDE924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）未按甲方要求的工期完成拆除任务的；</w:t>
      </w:r>
    </w:p>
    <w:p w14:paraId="640973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）未按甲方要求的质量完成拆除任务的；</w:t>
      </w:r>
    </w:p>
    <w:p w14:paraId="200E31E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）拆除过程中出现安全事故的；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 xml:space="preserve"> </w:t>
      </w:r>
    </w:p>
    <w:p w14:paraId="1486B99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）拆除过程中出现污染环境的；</w:t>
      </w:r>
    </w:p>
    <w:p w14:paraId="19E8885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）违反管理部门命令、规定和要求的；</w:t>
      </w:r>
    </w:p>
    <w:p w14:paraId="19A7BD8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）将拆除后可回收利用的材料、构件等及时未按要求及时登记确认即清理出现场的；</w:t>
      </w:r>
    </w:p>
    <w:p w14:paraId="251E3A6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）未能完全履行合同义务的；</w:t>
      </w:r>
    </w:p>
    <w:p w14:paraId="1D6C789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情况严重的，乙方承担违约责任，甲方有权解除合同，并不退还履约及安全保证金。</w:t>
      </w:r>
    </w:p>
    <w:p w14:paraId="4FD1941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负责在合同签订完成后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日内办理好拆除、城管、安全、环保及交通等有关部门所有拆除及清运审批手续；</w:t>
      </w:r>
    </w:p>
    <w:p w14:paraId="7085037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t>2.15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工程完成后，须及时向有关部门提出拆除工程验收申请，如验收不合格，则必须在限期内整改完毕并达到合格标准。</w:t>
      </w:r>
    </w:p>
    <w:p w14:paraId="19A6BB9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四、合同价款和付款方式</w:t>
      </w:r>
    </w:p>
    <w:p w14:paraId="1BC6DF88">
      <w:pPr>
        <w:pStyle w:val="9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（一）合同价款</w:t>
      </w:r>
    </w:p>
    <w:p w14:paraId="6478FE66">
      <w:pPr>
        <w:pStyle w:val="9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本工程采用固定综合单价合同方式。合同综合单价在合同履约期内固定不变，不因任何因素调整。</w:t>
      </w:r>
    </w:p>
    <w:p w14:paraId="55D7E81D">
      <w:pPr>
        <w:pStyle w:val="9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eastAsia="zh-CN" w:bidi="ar"/>
        </w:rPr>
        <w:t>垃圾清运：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 w:bidi="ar"/>
        </w:rPr>
        <w:t>元/立方米；</w:t>
      </w:r>
    </w:p>
    <w:p w14:paraId="18CC7B3B">
      <w:pPr>
        <w:pStyle w:val="9"/>
        <w:snapToGrid w:val="0"/>
        <w:spacing w:line="360" w:lineRule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合同总价暂定为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最终合同支付价款根据实际发生工程量据实结算，但最终不超过本项目成交金额。</w:t>
      </w:r>
    </w:p>
    <w:p w14:paraId="6DC89D6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（二）付款方式</w:t>
      </w:r>
    </w:p>
    <w:p w14:paraId="0AB0ADC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项目结束并经甲方验收合格后，成交供应商提交结算申请，甲方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审核后按照实际发生工程量据实结算 ，达到付款条件起 30 日内，支付合同总金额的 100.00%。</w:t>
      </w:r>
    </w:p>
    <w:p w14:paraId="2743A6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、合同终止</w:t>
      </w:r>
    </w:p>
    <w:p w14:paraId="73DDFDA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因乙方自身原因未按本合同约定交工的，应承担因此造成的所有损失；超过约定期限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日未交工的，合同终止，乙方承担违约责任，并按照本合同约定总价款的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30%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向甲方缴纳违约金。</w:t>
      </w:r>
    </w:p>
    <w:p w14:paraId="178F593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/>
        </w:rPr>
        <w:t>、其它</w:t>
      </w:r>
    </w:p>
    <w:p w14:paraId="30973EA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、罚则</w:t>
      </w:r>
    </w:p>
    <w:p w14:paraId="232277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乙方工期每推迟一天处以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000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元人民币罚款；</w:t>
      </w:r>
    </w:p>
    <w:p w14:paraId="236A593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质量安全达不到甲方要求的不予结算；</w:t>
      </w:r>
    </w:p>
    <w:p w14:paraId="47503A6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1.3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垃圾外运必须运至指定的建筑垃圾堆放场地，否则将被处以垃圾清运费用两倍以上的罚款。</w:t>
      </w:r>
    </w:p>
    <w:p w14:paraId="27BB778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、争议</w:t>
      </w:r>
    </w:p>
    <w:p w14:paraId="561030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双方约定，在履行合同过程中产生争议时：</w:t>
      </w:r>
    </w:p>
    <w:p w14:paraId="4ACFC42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2.1.1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由本工程监理工程师调解；</w:t>
      </w:r>
    </w:p>
    <w:p w14:paraId="72BC4CA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2.1.2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调解不能解决时，向工程所在地人民法院提请诉讼。</w:t>
      </w:r>
    </w:p>
    <w:p w14:paraId="711F117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合同争议处理期间，除正在处理的争议部分外，合同其余部分应继续执行。</w:t>
      </w:r>
    </w:p>
    <w:p w14:paraId="14DEB81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、本合同一式肆份，具有同等法律效力，双方各执贰份；本合同由双方签字盖章后生效，待合同履行完毕，工程价款结清后本合同自然终止。</w:t>
      </w:r>
    </w:p>
    <w:p w14:paraId="5911E83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  <w:lang w:val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、本合同中未尽事宜双方协商解决。</w:t>
      </w:r>
    </w:p>
    <w:p w14:paraId="01869FD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ascii="仿宋_GB2312" w:hAnsi="仿宋_GB2312" w:eastAsia="仿宋_GB2312" w:cs="Times New Roman"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CN"/>
        </w:rPr>
        <w:t>合同附件一：安全生产、文明施工责任书</w:t>
      </w:r>
    </w:p>
    <w:p w14:paraId="376D4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1A53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盖章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盖章</w:t>
      </w:r>
      <w:r>
        <w:rPr>
          <w:rFonts w:ascii="仿宋" w:hAnsi="仿宋" w:eastAsia="仿宋" w:cs="仿宋"/>
          <w:color w:val="auto"/>
          <w:sz w:val="28"/>
          <w:szCs w:val="28"/>
        </w:rPr>
        <w:t>)</w:t>
      </w:r>
    </w:p>
    <w:p w14:paraId="2EA43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甲方负责人：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签字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乙方负责人：</w:t>
      </w:r>
      <w:r>
        <w:rPr>
          <w:rFonts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签字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)  </w:t>
      </w:r>
    </w:p>
    <w:p w14:paraId="550FE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甲方经办人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: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乙方经办人：</w:t>
      </w:r>
    </w:p>
    <w:p w14:paraId="411D934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_GB2312" w:hAnsi="仿宋_GB2312" w:eastAsia="仿宋_GB2312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ascii="仿宋" w:hAnsi="仿宋" w:eastAsia="仿宋" w:cs="仿宋"/>
          <w:color w:val="auto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605D1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方正小标宋简体" w:hAnsi="宋体" w:eastAsia="方正小标宋简体"/>
          <w:color w:val="auto"/>
          <w:sz w:val="28"/>
          <w:szCs w:val="28"/>
        </w:rPr>
      </w:pPr>
      <w:r>
        <w:rPr>
          <w:rFonts w:ascii="仿宋_GB2312" w:hAnsi="宋体" w:eastAsia="仿宋_GB2312"/>
          <w:color w:val="auto"/>
          <w:sz w:val="28"/>
          <w:szCs w:val="28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安全生产、文明施工责任书</w:t>
      </w:r>
    </w:p>
    <w:p w14:paraId="0C38A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</w:t>
      </w:r>
    </w:p>
    <w:p w14:paraId="5E17E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乙方：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</w:t>
      </w:r>
    </w:p>
    <w:p w14:paraId="48EBD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加强房屋拆除安全施工管理，认真落实“安全第一、预防为主”的安全生产工作方针，杜绝安全事故发生，维护人民生命和财产安全，根据《中华人民共和国安全生产法》、《建设工程安全生产管理条例》等相关法规政策，经甲、乙双方协商一致，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项目签署安全生产、文明施工责任书，主要内容如下：</w:t>
      </w:r>
    </w:p>
    <w:p w14:paraId="19DED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一、甲方责任</w:t>
      </w:r>
    </w:p>
    <w:p w14:paraId="4A057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（一）及时传达和通报相关职能部门关于安全生产工作的重要指示和要求，督促乙方安全施工工作的落实。 </w:t>
      </w:r>
    </w:p>
    <w:p w14:paraId="54BB9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（二）定期组织安全会议，随时组织安全检查和现场监督管理。</w:t>
      </w:r>
    </w:p>
    <w:p w14:paraId="7C602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（三）及时协调解决工程实施过程中各类管线的迁移和改造等问题。</w:t>
      </w:r>
    </w:p>
    <w:p w14:paraId="12AF2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二、乙方责任</w:t>
      </w:r>
    </w:p>
    <w:p w14:paraId="2D1FF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（一）及时处理施工过程中妨碍安全生产和文明施工的问题。</w:t>
      </w:r>
    </w:p>
    <w:p w14:paraId="41787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（二）认真贯彻执行《中华人民共和国安全生产法》、《建设工程安全生产管理条例》等有关安全生产的法规政策。根据现场实际情况，制订有效可行的安全与文明施工方案。</w:t>
      </w:r>
    </w:p>
    <w:p w14:paraId="4B7F2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（三）应当健全安全生产制度，建立由法定代表人为第一责任人的责任体系，完善紧急救援措施，保证安全施工，做到“组织有保证，任务有要求，工作有检查，预防有措施”。</w:t>
      </w:r>
    </w:p>
    <w:p w14:paraId="1DCD3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（四）应建立健全安全组织管理机构，制订严格的安全管理制度和安全生产预案。现场施工人员全面掌握安全文明施工的方法和要领，安全生产文明施工责任人全过程进驻现场。</w:t>
      </w:r>
    </w:p>
    <w:p w14:paraId="08033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（五）应建立严格的对易燃、易爆等危险品管理制度和使用规范，配备充足的安全防护物品和器具。</w:t>
      </w:r>
    </w:p>
    <w:p w14:paraId="16B55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六）应在施工现场周边设立围护设施和警示标志。施工前，乙方向职工介绍施工中有关安全、防火等规章制度及要求，提高职工的安全思想意识和自我保护能力，督促职工自觉遵守安全纪律、制度法规。乙方必须检查、督促施工人员严格遵守、认真执行。</w:t>
      </w:r>
    </w:p>
    <w:p w14:paraId="529B2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（七）机械设备、脚手架等设施，在搭设、安装完毕并按规定验收后方可使用，严禁在未检验或检验不合格情况下投入使用。</w:t>
      </w:r>
    </w:p>
    <w:p w14:paraId="49540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八）特种作业必须执行《国家特种作业人员安全技术培训考核管理规定》，经省、市、区的特种作业人员安全技术培训考核后持证上岗，起重吊装作业必须遵守“十不吊”规定，严禁违章、无证操作，严禁不懂电气、机械设备的人，擅自操作使用电气、机械设备。</w:t>
      </w:r>
    </w:p>
    <w:p w14:paraId="7217B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九）必须严格执行各类防火、防爆制度和使用规范，易燃易爆场所严禁吸烟及动用明火，消防器材不得挪作他用。电焊、气焊割作业应按规定办理动火审批手续，严格遵守“十不烧”规定，严禁使用电炉。擅自乱拉电器线路造成后果均有肇事方负责。</w:t>
      </w:r>
    </w:p>
    <w:p w14:paraId="3ADC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（十）在施工中，应注意地下管线及高低压架空线路保护，甲方应详细交底，乙方应贯彻交底要求，如遇有情况，应及时和甲方联系，采取保护措施。</w:t>
      </w:r>
    </w:p>
    <w:p w14:paraId="4D2F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（十一）配备充足的安全防护物品和器具，监督施工人员自觉穿戴好安全防护用品。</w:t>
      </w:r>
    </w:p>
    <w:p w14:paraId="3C314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十二）拆除房屋或构筑物前，应先截断电源、关闭天然气，拆除楼房应当搭设防护架、设立防护网，施工人员应当按规定佩戴安全帽、挂设保险绳，应有效的控制施工过程中的扬尘、噪声和震动，按有关规定运输建筑材料、处置建筑渣土和各种废物。 </w:t>
      </w:r>
    </w:p>
    <w:p w14:paraId="31516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三）在房屋拆除施工时不得有下列行为：抛撒废料；将有毒有害废物作土方回填；泥浆水未经处理直接排入城市排水设施或河道；无符合规定装置而在施工现场熔融沥青或者焚烧油毡、油漆以及其它产生有毒有害烟尘和气体的物质；在应拆除建筑物内办公、生活或非作业性滞留；其它应当禁止的行为。</w:t>
      </w:r>
    </w:p>
    <w:p w14:paraId="64A53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（十四）积极配合相关部门的监督、检查和指导，对存在的问题，要制定整改措施、经费保障、完工日期等整改计划，及时采取有效措施，消除安全隐患，按规定的时间上交安全检查整改情况书面材料，并向甲方报送整改情况。   </w:t>
      </w:r>
    </w:p>
    <w:p w14:paraId="0C6A4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五）加强拆除现场管理，完善各种安全防护设施，乙方承担施工过程中发生安全事故的全部责任和处罚。若发生安全事故，要立即组织力量进行救援，最大限度杜绝人员伤亡，及时上报事故情况，不得拖延或瞒报事故。安全事故发生后，要保护好现场，积极配合相关部门做好调查取证工作，按照责任及相关规定做好善后处理工作，消除安全隐患。</w:t>
      </w:r>
    </w:p>
    <w:p w14:paraId="44DC9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十六）乙方应组织做好拆除前所有移交房屋及现场安全看护工作，若因看护不力导致的安全事故等由乙方承担全部责任。同时，乙方应组织开展拆迁区域的安全巡查工作，对发现的安全隐患应及时向甲方报告以采取解决措施。</w:t>
      </w:r>
    </w:p>
    <w:p w14:paraId="4807D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本责任书未注明事项，必须符合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及国家相关法律、法规以及各级建设行政主管部门的相关要求。</w:t>
      </w:r>
    </w:p>
    <w:p w14:paraId="09399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本责任书一式捌份，甲、乙双方各执肆份，双方签字盖章后生效，工作完成后自动失效。</w:t>
      </w:r>
    </w:p>
    <w:p w14:paraId="39865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28764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7CF3B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甲方：(盖章)                乙方(盖章)</w:t>
      </w:r>
    </w:p>
    <w:p w14:paraId="3D962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甲方负责人：(签字)          乙方负责人：(签字)  </w:t>
      </w:r>
    </w:p>
    <w:p w14:paraId="65A12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甲方经办人:                 乙方经办人：</w:t>
      </w:r>
    </w:p>
    <w:p w14:paraId="663D4BC0">
      <w:pPr>
        <w:ind w:firstLine="560" w:firstLineChars="2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   月   日                年   月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823AEC6C-F4B9-48E9-89A7-5951F0B556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86F3067-FE6E-4A89-9ACD-E6449151958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94370"/>
    <w:rsid w:val="00C34048"/>
    <w:rsid w:val="050471D5"/>
    <w:rsid w:val="053C7039"/>
    <w:rsid w:val="05711A44"/>
    <w:rsid w:val="061E2E91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D494370"/>
    <w:rsid w:val="4EE80B08"/>
    <w:rsid w:val="50742555"/>
    <w:rsid w:val="530774AF"/>
    <w:rsid w:val="55A52421"/>
    <w:rsid w:val="579A3366"/>
    <w:rsid w:val="58C12BE9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A4B0315"/>
    <w:rsid w:val="7B7D3A13"/>
    <w:rsid w:val="7CCE6984"/>
    <w:rsid w:val="7D393C95"/>
    <w:rsid w:val="7D6D78F8"/>
    <w:rsid w:val="7DF2584A"/>
    <w:rsid w:val="7E7D63A9"/>
    <w:rsid w:val="7EF6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9">
    <w:name w:val="Body Text Indent"/>
    <w:basedOn w:val="1"/>
    <w:qFormat/>
    <w:uiPriority w:val="0"/>
    <w:pPr>
      <w:ind w:firstLine="630"/>
    </w:pPr>
    <w:rPr>
      <w:sz w:val="32"/>
    </w:rPr>
  </w:style>
  <w:style w:type="character" w:customStyle="1" w:styleId="12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  <w:style w:type="paragraph" w:customStyle="1" w:styleId="15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4032</Words>
  <Characters>4131</Characters>
  <Lines>0</Lines>
  <Paragraphs>0</Paragraphs>
  <TotalTime>6</TotalTime>
  <ScaleCrop>false</ScaleCrop>
  <LinksUpToDate>false</LinksUpToDate>
  <CharactersWithSpaces>4604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2025-02-19T02:53:00Z</dcterms:created>
  <dc:creator>华采</dc:creator>
  <cp:lastModifiedBy>华采</cp:lastModifiedBy>
  <dcterms:modified xsi:type="dcterms:W3CDTF">2025-03-25T00:47:57Z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62CCED8B18494177ACA578C97F71D31F_11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