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685A81">
      <w:pPr>
        <w:pStyle w:val="10"/>
        <w:jc w:val="center"/>
        <w:outlineLvl w:val="1"/>
        <w:rPr>
          <w:rFonts w:hint="default" w:ascii="宋体" w:hAnsi="宋体" w:eastAsia="宋体" w:cs="宋体"/>
          <w:color w:val="auto"/>
        </w:rPr>
      </w:pPr>
      <w:r>
        <w:rPr>
          <w:rFonts w:ascii="宋体" w:hAnsi="宋体" w:eastAsia="宋体" w:cs="宋体"/>
          <w:b/>
          <w:color w:val="auto"/>
          <w:sz w:val="36"/>
        </w:rPr>
        <w:t>拟签订采购合同文本</w:t>
      </w:r>
    </w:p>
    <w:p w14:paraId="65BE2668">
      <w:pPr>
        <w:pStyle w:val="10"/>
        <w:rPr>
          <w:rFonts w:hint="default" w:ascii="宋体" w:hAnsi="宋体" w:eastAsia="宋体" w:cs="宋体"/>
          <w:color w:val="auto"/>
        </w:rPr>
      </w:pPr>
    </w:p>
    <w:p w14:paraId="12327EA4">
      <w:pPr>
        <w:spacing w:line="360" w:lineRule="auto"/>
        <w:rPr>
          <w:rFonts w:ascii="仿宋" w:hAnsi="仿宋" w:eastAsia="仿宋" w:cs="仿宋"/>
          <w:b/>
          <w:bCs/>
          <w:color w:val="auto"/>
          <w:sz w:val="28"/>
          <w:szCs w:val="28"/>
        </w:rPr>
      </w:pPr>
    </w:p>
    <w:p w14:paraId="32A0C370">
      <w:pPr>
        <w:spacing w:line="360" w:lineRule="auto"/>
        <w:rPr>
          <w:rFonts w:ascii="仿宋" w:hAnsi="仿宋" w:eastAsia="仿宋" w:cs="仿宋"/>
          <w:b/>
          <w:bCs/>
          <w:color w:val="auto"/>
          <w:sz w:val="28"/>
          <w:szCs w:val="28"/>
        </w:rPr>
      </w:pPr>
    </w:p>
    <w:p w14:paraId="37091CB3">
      <w:pPr>
        <w:spacing w:line="360" w:lineRule="auto"/>
        <w:rPr>
          <w:rFonts w:ascii="仿宋" w:hAnsi="仿宋" w:eastAsia="仿宋" w:cs="仿宋"/>
          <w:b/>
          <w:bCs/>
          <w:color w:val="auto"/>
          <w:sz w:val="28"/>
          <w:szCs w:val="28"/>
        </w:rPr>
      </w:pPr>
      <w:r>
        <w:rPr>
          <w:rFonts w:hint="eastAsia" w:ascii="仿宋" w:hAnsi="仿宋" w:eastAsia="仿宋" w:cs="仿宋"/>
          <w:b/>
          <w:bCs/>
          <w:color w:val="auto"/>
          <w:sz w:val="28"/>
          <w:szCs w:val="28"/>
        </w:rPr>
        <w:t>合同编号:</w:t>
      </w:r>
    </w:p>
    <w:p w14:paraId="6CF76EF3">
      <w:pPr>
        <w:pStyle w:val="6"/>
        <w:ind w:firstLine="210"/>
        <w:rPr>
          <w:rFonts w:ascii="仿宋" w:hAnsi="仿宋" w:eastAsia="仿宋" w:cs="仿宋"/>
          <w:color w:val="auto"/>
        </w:rPr>
      </w:pPr>
    </w:p>
    <w:p w14:paraId="14B20820">
      <w:pPr>
        <w:rPr>
          <w:rFonts w:ascii="仿宋" w:hAnsi="仿宋" w:eastAsia="仿宋" w:cs="仿宋"/>
          <w:color w:val="auto"/>
          <w:sz w:val="28"/>
          <w:szCs w:val="28"/>
        </w:rPr>
      </w:pPr>
    </w:p>
    <w:p w14:paraId="07DF7C5C">
      <w:pPr>
        <w:pStyle w:val="3"/>
        <w:jc w:val="center"/>
        <w:rPr>
          <w:rFonts w:hint="eastAsia" w:ascii="仿宋" w:hAnsi="仿宋" w:eastAsia="仿宋" w:cs="仿宋"/>
          <w:b/>
          <w:color w:val="auto"/>
          <w:kern w:val="0"/>
          <w:sz w:val="32"/>
          <w:szCs w:val="32"/>
          <w:lang w:eastAsia="zh-CN"/>
        </w:rPr>
      </w:pPr>
      <w:r>
        <w:rPr>
          <w:rFonts w:hint="eastAsia" w:ascii="仿宋" w:hAnsi="仿宋" w:eastAsia="仿宋" w:cs="仿宋"/>
          <w:b/>
          <w:color w:val="auto"/>
          <w:kern w:val="0"/>
          <w:sz w:val="32"/>
          <w:szCs w:val="32"/>
        </w:rPr>
        <w:t>西安市经开第五学校初中部监控设备项目</w:t>
      </w:r>
      <w:r>
        <w:rPr>
          <w:rFonts w:hint="eastAsia" w:ascii="仿宋" w:hAnsi="仿宋" w:eastAsia="仿宋" w:cs="仿宋"/>
          <w:b/>
          <w:color w:val="auto"/>
          <w:kern w:val="0"/>
          <w:sz w:val="32"/>
          <w:szCs w:val="32"/>
          <w:lang w:eastAsia="zh-CN"/>
        </w:rPr>
        <w:t>（</w:t>
      </w:r>
      <w:r>
        <w:rPr>
          <w:rFonts w:hint="eastAsia" w:ascii="仿宋" w:hAnsi="仿宋" w:eastAsia="仿宋" w:cs="仿宋"/>
          <w:b/>
          <w:color w:val="auto"/>
          <w:kern w:val="0"/>
          <w:sz w:val="32"/>
          <w:szCs w:val="32"/>
          <w:lang w:val="en-US" w:eastAsia="zh-CN"/>
        </w:rPr>
        <w:t>二次</w:t>
      </w:r>
      <w:r>
        <w:rPr>
          <w:rFonts w:hint="eastAsia" w:ascii="仿宋" w:hAnsi="仿宋" w:eastAsia="仿宋" w:cs="仿宋"/>
          <w:b/>
          <w:color w:val="auto"/>
          <w:kern w:val="0"/>
          <w:sz w:val="32"/>
          <w:szCs w:val="32"/>
          <w:lang w:eastAsia="zh-CN"/>
        </w:rPr>
        <w:t>）</w:t>
      </w:r>
    </w:p>
    <w:p w14:paraId="6F51ADBE">
      <w:pPr>
        <w:pStyle w:val="3"/>
        <w:jc w:val="center"/>
        <w:rPr>
          <w:rFonts w:ascii="仿宋" w:hAnsi="仿宋" w:eastAsia="仿宋" w:cs="仿宋"/>
          <w:b/>
          <w:color w:val="auto"/>
          <w:kern w:val="0"/>
          <w:sz w:val="28"/>
          <w:szCs w:val="28"/>
        </w:rPr>
      </w:pPr>
    </w:p>
    <w:p w14:paraId="1208EF36">
      <w:pPr>
        <w:rPr>
          <w:rFonts w:ascii="仿宋" w:hAnsi="仿宋" w:eastAsia="仿宋" w:cs="仿宋"/>
          <w:color w:val="auto"/>
        </w:rPr>
      </w:pPr>
    </w:p>
    <w:p w14:paraId="1EF63368">
      <w:pPr>
        <w:pStyle w:val="3"/>
        <w:jc w:val="center"/>
        <w:rPr>
          <w:rFonts w:ascii="仿宋" w:hAnsi="仿宋" w:eastAsia="仿宋" w:cs="仿宋"/>
          <w:b/>
          <w:color w:val="auto"/>
          <w:kern w:val="0"/>
          <w:sz w:val="44"/>
          <w:szCs w:val="44"/>
        </w:rPr>
      </w:pPr>
    </w:p>
    <w:p w14:paraId="3FBE60B8">
      <w:pPr>
        <w:pStyle w:val="3"/>
        <w:jc w:val="center"/>
        <w:rPr>
          <w:rFonts w:ascii="仿宋" w:hAnsi="仿宋" w:eastAsia="仿宋" w:cs="仿宋"/>
          <w:b/>
          <w:color w:val="auto"/>
          <w:kern w:val="0"/>
          <w:sz w:val="44"/>
          <w:szCs w:val="44"/>
        </w:rPr>
      </w:pPr>
      <w:r>
        <w:rPr>
          <w:rFonts w:hint="eastAsia" w:ascii="仿宋" w:hAnsi="仿宋" w:eastAsia="仿宋" w:cs="仿宋"/>
          <w:b/>
          <w:color w:val="auto"/>
          <w:kern w:val="0"/>
          <w:sz w:val="44"/>
          <w:szCs w:val="44"/>
        </w:rPr>
        <w:t>（示范文本）</w:t>
      </w:r>
    </w:p>
    <w:p w14:paraId="1E50CBCA">
      <w:pPr>
        <w:rPr>
          <w:rFonts w:ascii="仿宋" w:hAnsi="仿宋" w:eastAsia="仿宋" w:cs="仿宋"/>
          <w:color w:val="auto"/>
          <w:sz w:val="28"/>
          <w:szCs w:val="28"/>
        </w:rPr>
      </w:pPr>
    </w:p>
    <w:p w14:paraId="23646192">
      <w:pPr>
        <w:pStyle w:val="6"/>
        <w:ind w:firstLine="210"/>
        <w:rPr>
          <w:rFonts w:ascii="仿宋" w:hAnsi="仿宋" w:eastAsia="仿宋" w:cs="仿宋"/>
          <w:color w:val="auto"/>
        </w:rPr>
      </w:pPr>
    </w:p>
    <w:p w14:paraId="336A1974">
      <w:pPr>
        <w:ind w:firstLine="1968" w:firstLineChars="700"/>
        <w:jc w:val="left"/>
        <w:rPr>
          <w:rFonts w:ascii="仿宋" w:hAnsi="仿宋" w:eastAsia="仿宋" w:cs="仿宋"/>
          <w:b/>
          <w:color w:val="auto"/>
          <w:sz w:val="28"/>
          <w:szCs w:val="28"/>
        </w:rPr>
      </w:pPr>
      <w:r>
        <w:rPr>
          <w:rFonts w:hint="eastAsia" w:ascii="仿宋" w:hAnsi="仿宋" w:eastAsia="仿宋" w:cs="仿宋"/>
          <w:b/>
          <w:color w:val="auto"/>
          <w:sz w:val="28"/>
          <w:szCs w:val="28"/>
        </w:rPr>
        <w:t xml:space="preserve">采购人(甲方) :                              </w:t>
      </w:r>
    </w:p>
    <w:p w14:paraId="49B76D5D">
      <w:pPr>
        <w:ind w:firstLine="1968" w:firstLineChars="700"/>
        <w:jc w:val="left"/>
        <w:rPr>
          <w:rFonts w:ascii="仿宋" w:hAnsi="仿宋" w:eastAsia="仿宋" w:cs="仿宋"/>
          <w:b/>
          <w:color w:val="auto"/>
          <w:sz w:val="28"/>
          <w:szCs w:val="28"/>
        </w:rPr>
      </w:pPr>
      <w:r>
        <w:rPr>
          <w:rFonts w:hint="eastAsia" w:ascii="仿宋" w:hAnsi="仿宋" w:eastAsia="仿宋" w:cs="仿宋"/>
          <w:b/>
          <w:color w:val="auto"/>
          <w:sz w:val="28"/>
          <w:szCs w:val="28"/>
        </w:rPr>
        <w:t xml:space="preserve">供应商(乙方) :                              </w:t>
      </w:r>
    </w:p>
    <w:p w14:paraId="13E2267D">
      <w:pPr>
        <w:ind w:firstLine="562" w:firstLineChars="200"/>
        <w:jc w:val="left"/>
        <w:rPr>
          <w:rFonts w:ascii="仿宋" w:hAnsi="仿宋" w:eastAsia="仿宋" w:cs="仿宋"/>
          <w:b/>
          <w:color w:val="auto"/>
          <w:sz w:val="28"/>
          <w:szCs w:val="28"/>
        </w:rPr>
      </w:pPr>
    </w:p>
    <w:p w14:paraId="5B4B7DA1">
      <w:pPr>
        <w:pStyle w:val="6"/>
        <w:ind w:firstLine="0" w:firstLineChars="0"/>
        <w:rPr>
          <w:rFonts w:ascii="仿宋" w:hAnsi="仿宋" w:eastAsia="仿宋" w:cs="仿宋"/>
          <w:color w:val="auto"/>
        </w:rPr>
      </w:pPr>
    </w:p>
    <w:p w14:paraId="3A4D03B6">
      <w:pPr>
        <w:pStyle w:val="7"/>
        <w:rPr>
          <w:color w:val="auto"/>
        </w:rPr>
      </w:pPr>
    </w:p>
    <w:p w14:paraId="4C82B58C">
      <w:pPr>
        <w:rPr>
          <w:rFonts w:ascii="仿宋" w:hAnsi="仿宋" w:eastAsia="仿宋" w:cs="仿宋"/>
          <w:color w:val="auto"/>
          <w:sz w:val="24"/>
        </w:rPr>
      </w:pPr>
    </w:p>
    <w:p w14:paraId="215EA47D">
      <w:pPr>
        <w:ind w:firstLine="480" w:firstLineChars="200"/>
        <w:rPr>
          <w:rFonts w:ascii="仿宋" w:hAnsi="仿宋" w:eastAsia="仿宋" w:cs="仿宋"/>
          <w:color w:val="auto"/>
          <w:sz w:val="24"/>
        </w:rPr>
      </w:pPr>
      <w:r>
        <w:rPr>
          <w:rFonts w:hint="eastAsia" w:ascii="仿宋" w:hAnsi="仿宋" w:eastAsia="仿宋" w:cs="仿宋"/>
          <w:color w:val="auto"/>
          <w:sz w:val="24"/>
        </w:rPr>
        <w:t>合同编号：</w:t>
      </w:r>
    </w:p>
    <w:p w14:paraId="6EAA6CA4">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签订地点：</w:t>
      </w:r>
    </w:p>
    <w:p w14:paraId="20E22AD0">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签订时间：</w:t>
      </w:r>
    </w:p>
    <w:p w14:paraId="2927F14B">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br w:type="page"/>
      </w:r>
      <w:r>
        <w:rPr>
          <w:rFonts w:hint="eastAsia" w:ascii="仿宋" w:hAnsi="仿宋" w:eastAsia="仿宋" w:cs="仿宋"/>
          <w:color w:val="auto"/>
          <w:sz w:val="24"/>
        </w:rPr>
        <w:t xml:space="preserve">采购人（甲方）： </w:t>
      </w:r>
    </w:p>
    <w:p w14:paraId="5F1597D1">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供应商（乙方）：</w:t>
      </w:r>
    </w:p>
    <w:p w14:paraId="098C03C8">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根据《中华人民共和国民法典》、《中华人民共和国政府采购法》及</w:t>
      </w:r>
      <w:r>
        <w:rPr>
          <w:rFonts w:hint="eastAsia" w:ascii="仿宋" w:hAnsi="仿宋" w:eastAsia="仿宋" w:cs="仿宋"/>
          <w:color w:val="auto"/>
          <w:sz w:val="24"/>
          <w:u w:val="single"/>
        </w:rPr>
        <w:t>西安市经开第五学校初中部监控设备项目</w:t>
      </w:r>
      <w:r>
        <w:rPr>
          <w:rFonts w:hint="eastAsia" w:ascii="仿宋" w:hAnsi="仿宋" w:eastAsia="仿宋" w:cs="仿宋"/>
          <w:color w:val="auto"/>
          <w:sz w:val="24"/>
          <w:u w:val="single"/>
          <w:lang w:eastAsia="zh-CN"/>
        </w:rPr>
        <w:t>（</w:t>
      </w:r>
      <w:r>
        <w:rPr>
          <w:rFonts w:hint="eastAsia" w:ascii="仿宋" w:hAnsi="仿宋" w:eastAsia="仿宋" w:cs="仿宋"/>
          <w:color w:val="auto"/>
          <w:sz w:val="24"/>
          <w:u w:val="single"/>
          <w:lang w:val="en-US" w:eastAsia="zh-CN"/>
        </w:rPr>
        <w:t>二次</w:t>
      </w:r>
      <w:r>
        <w:rPr>
          <w:rFonts w:hint="eastAsia" w:ascii="仿宋" w:hAnsi="仿宋" w:eastAsia="仿宋" w:cs="仿宋"/>
          <w:color w:val="auto"/>
          <w:sz w:val="24"/>
          <w:u w:val="single"/>
          <w:lang w:eastAsia="zh-CN"/>
        </w:rPr>
        <w:t>）</w:t>
      </w:r>
      <w:r>
        <w:rPr>
          <w:rFonts w:hint="eastAsia" w:ascii="仿宋" w:hAnsi="仿宋" w:eastAsia="仿宋" w:cs="仿宋"/>
          <w:color w:val="auto"/>
          <w:sz w:val="24"/>
          <w:u w:val="single"/>
        </w:rPr>
        <w:t>、项目编号：SXZHZC2025-JT220</w:t>
      </w:r>
      <w:r>
        <w:rPr>
          <w:rFonts w:hint="eastAsia" w:ascii="仿宋" w:hAnsi="仿宋" w:eastAsia="仿宋" w:cs="仿宋"/>
          <w:color w:val="auto"/>
          <w:sz w:val="24"/>
          <w:u w:val="single"/>
          <w:lang w:val="en-US" w:eastAsia="zh-CN"/>
        </w:rPr>
        <w:t>.1B1</w:t>
      </w:r>
      <w:r>
        <w:rPr>
          <w:rFonts w:hint="eastAsia" w:ascii="仿宋" w:hAnsi="仿宋" w:eastAsia="仿宋" w:cs="仿宋"/>
          <w:color w:val="auto"/>
          <w:sz w:val="24"/>
        </w:rPr>
        <w:t>的《竞争性磋商文件》、乙方的《响应文件》及《成交通知书》），甲、乙双方同意签订本合同。详细技术说明及其化有关合同的特定信息由合同附件予以说明，合同附件及本项目的竞争性磋商文件、响应文件、《成交通知书》等均为本合同不可分割的部分。双方同意共同遵守如下条款：</w:t>
      </w:r>
    </w:p>
    <w:p w14:paraId="08133D1C">
      <w:pPr>
        <w:numPr>
          <w:ilvl w:val="0"/>
          <w:numId w:val="1"/>
        </w:numPr>
        <w:spacing w:line="360" w:lineRule="auto"/>
        <w:rPr>
          <w:rFonts w:ascii="仿宋" w:hAnsi="仿宋" w:eastAsia="仿宋" w:cs="仿宋"/>
          <w:b/>
          <w:color w:val="auto"/>
          <w:sz w:val="24"/>
        </w:rPr>
      </w:pPr>
      <w:r>
        <w:rPr>
          <w:rFonts w:hint="eastAsia" w:ascii="仿宋" w:hAnsi="仿宋" w:eastAsia="仿宋" w:cs="仿宋"/>
          <w:b/>
          <w:color w:val="auto"/>
          <w:sz w:val="24"/>
        </w:rPr>
        <w:t>合同标的及数量</w:t>
      </w:r>
    </w:p>
    <w:p w14:paraId="784D8D8F">
      <w:pPr>
        <w:pStyle w:val="4"/>
        <w:rPr>
          <w:rFonts w:ascii="仿宋" w:hAnsi="仿宋" w:eastAsia="仿宋" w:cs="仿宋"/>
          <w:color w:val="auto"/>
        </w:rPr>
      </w:pPr>
      <w:r>
        <w:rPr>
          <w:rFonts w:hint="eastAsia" w:ascii="仿宋" w:hAnsi="仿宋" w:eastAsia="仿宋" w:cs="仿宋"/>
          <w:color w:val="auto"/>
        </w:rPr>
        <w:t>乙方向甲方提供下列货物 (产品) ：</w:t>
      </w:r>
    </w:p>
    <w:p w14:paraId="782D978C">
      <w:pPr>
        <w:pStyle w:val="4"/>
        <w:jc w:val="center"/>
        <w:rPr>
          <w:rFonts w:ascii="仿宋" w:hAnsi="仿宋" w:eastAsia="仿宋" w:cs="仿宋"/>
          <w:b/>
          <w:bCs/>
          <w:color w:val="auto"/>
        </w:rPr>
      </w:pPr>
      <w:r>
        <w:rPr>
          <w:rFonts w:hint="eastAsia" w:ascii="仿宋" w:hAnsi="仿宋" w:eastAsia="仿宋" w:cs="仿宋"/>
          <w:b/>
          <w:bCs/>
          <w:color w:val="auto"/>
        </w:rPr>
        <w:t>供货一览表</w:t>
      </w:r>
    </w:p>
    <w:tbl>
      <w:tblPr>
        <w:tblStyle w:val="8"/>
        <w:tblW w:w="85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8"/>
        <w:gridCol w:w="1336"/>
        <w:gridCol w:w="1370"/>
        <w:gridCol w:w="1232"/>
        <w:gridCol w:w="1328"/>
        <w:gridCol w:w="1200"/>
        <w:gridCol w:w="1342"/>
      </w:tblGrid>
      <w:tr w14:paraId="214FC2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9" w:hRule="atLeast"/>
          <w:jc w:val="center"/>
        </w:trPr>
        <w:tc>
          <w:tcPr>
            <w:tcW w:w="788" w:type="dxa"/>
            <w:noWrap/>
            <w:vAlign w:val="center"/>
          </w:tcPr>
          <w:p w14:paraId="2C22FDD9">
            <w:pPr>
              <w:spacing w:line="360" w:lineRule="auto"/>
              <w:jc w:val="center"/>
              <w:rPr>
                <w:rFonts w:ascii="仿宋" w:hAnsi="仿宋" w:eastAsia="仿宋" w:cs="仿宋"/>
                <w:color w:val="auto"/>
                <w:sz w:val="24"/>
              </w:rPr>
            </w:pPr>
            <w:r>
              <w:rPr>
                <w:rFonts w:hint="eastAsia" w:ascii="仿宋" w:hAnsi="仿宋" w:eastAsia="仿宋" w:cs="仿宋"/>
                <w:color w:val="auto"/>
                <w:sz w:val="24"/>
              </w:rPr>
              <w:t>序号</w:t>
            </w:r>
          </w:p>
        </w:tc>
        <w:tc>
          <w:tcPr>
            <w:tcW w:w="1336" w:type="dxa"/>
            <w:noWrap/>
            <w:vAlign w:val="center"/>
          </w:tcPr>
          <w:p w14:paraId="1B96B0C8">
            <w:pPr>
              <w:spacing w:line="360" w:lineRule="auto"/>
              <w:jc w:val="center"/>
              <w:rPr>
                <w:rFonts w:ascii="仿宋" w:hAnsi="仿宋" w:eastAsia="仿宋" w:cs="仿宋"/>
                <w:color w:val="auto"/>
                <w:sz w:val="24"/>
              </w:rPr>
            </w:pPr>
            <w:r>
              <w:rPr>
                <w:rFonts w:hint="eastAsia" w:ascii="仿宋" w:hAnsi="仿宋" w:eastAsia="仿宋" w:cs="仿宋"/>
                <w:color w:val="auto"/>
                <w:sz w:val="24"/>
              </w:rPr>
              <w:t>货物（产品）名称</w:t>
            </w:r>
          </w:p>
        </w:tc>
        <w:tc>
          <w:tcPr>
            <w:tcW w:w="1370" w:type="dxa"/>
            <w:noWrap/>
            <w:vAlign w:val="center"/>
          </w:tcPr>
          <w:p w14:paraId="64245CB2">
            <w:pPr>
              <w:spacing w:line="360" w:lineRule="auto"/>
              <w:jc w:val="center"/>
              <w:rPr>
                <w:rFonts w:ascii="仿宋" w:hAnsi="仿宋" w:eastAsia="仿宋" w:cs="仿宋"/>
                <w:color w:val="auto"/>
                <w:sz w:val="24"/>
              </w:rPr>
            </w:pPr>
            <w:r>
              <w:rPr>
                <w:rFonts w:hint="eastAsia" w:ascii="仿宋" w:hAnsi="仿宋" w:eastAsia="仿宋" w:cs="仿宋"/>
                <w:color w:val="auto"/>
                <w:sz w:val="24"/>
              </w:rPr>
              <w:t>品牌/规格型号</w:t>
            </w:r>
          </w:p>
        </w:tc>
        <w:tc>
          <w:tcPr>
            <w:tcW w:w="1232" w:type="dxa"/>
            <w:noWrap/>
            <w:vAlign w:val="center"/>
          </w:tcPr>
          <w:p w14:paraId="6ECC3149">
            <w:pPr>
              <w:spacing w:line="360" w:lineRule="auto"/>
              <w:jc w:val="center"/>
              <w:rPr>
                <w:rFonts w:ascii="仿宋" w:hAnsi="仿宋" w:eastAsia="仿宋" w:cs="仿宋"/>
                <w:color w:val="auto"/>
                <w:sz w:val="24"/>
              </w:rPr>
            </w:pPr>
            <w:r>
              <w:rPr>
                <w:rFonts w:hint="eastAsia" w:ascii="仿宋" w:hAnsi="仿宋" w:eastAsia="仿宋" w:cs="仿宋"/>
                <w:color w:val="auto"/>
                <w:sz w:val="24"/>
              </w:rPr>
              <w:t>计量单位</w:t>
            </w:r>
          </w:p>
        </w:tc>
        <w:tc>
          <w:tcPr>
            <w:tcW w:w="1328" w:type="dxa"/>
            <w:noWrap/>
            <w:vAlign w:val="center"/>
          </w:tcPr>
          <w:p w14:paraId="16536A38">
            <w:pPr>
              <w:spacing w:line="360" w:lineRule="auto"/>
              <w:jc w:val="center"/>
              <w:rPr>
                <w:rFonts w:ascii="仿宋" w:hAnsi="仿宋" w:eastAsia="仿宋" w:cs="仿宋"/>
                <w:color w:val="auto"/>
                <w:sz w:val="24"/>
              </w:rPr>
            </w:pPr>
            <w:r>
              <w:rPr>
                <w:rFonts w:hint="eastAsia" w:ascii="仿宋" w:hAnsi="仿宋" w:eastAsia="仿宋" w:cs="仿宋"/>
                <w:color w:val="auto"/>
                <w:sz w:val="24"/>
              </w:rPr>
              <w:t>数量</w:t>
            </w:r>
          </w:p>
        </w:tc>
        <w:tc>
          <w:tcPr>
            <w:tcW w:w="1200" w:type="dxa"/>
            <w:noWrap/>
            <w:vAlign w:val="center"/>
          </w:tcPr>
          <w:p w14:paraId="7B3D4597">
            <w:pPr>
              <w:spacing w:line="360" w:lineRule="auto"/>
              <w:jc w:val="center"/>
              <w:rPr>
                <w:rFonts w:ascii="仿宋" w:hAnsi="仿宋" w:eastAsia="仿宋" w:cs="仿宋"/>
                <w:color w:val="auto"/>
                <w:sz w:val="24"/>
              </w:rPr>
            </w:pPr>
            <w:r>
              <w:rPr>
                <w:rFonts w:hint="eastAsia" w:ascii="仿宋" w:hAnsi="仿宋" w:eastAsia="仿宋" w:cs="仿宋"/>
                <w:color w:val="auto"/>
                <w:sz w:val="24"/>
              </w:rPr>
              <w:t>单价</w:t>
            </w:r>
          </w:p>
          <w:p w14:paraId="32AD4BED">
            <w:pPr>
              <w:spacing w:line="360" w:lineRule="auto"/>
              <w:jc w:val="center"/>
              <w:rPr>
                <w:rFonts w:ascii="仿宋" w:hAnsi="仿宋" w:eastAsia="仿宋" w:cs="仿宋"/>
                <w:color w:val="auto"/>
                <w:sz w:val="24"/>
              </w:rPr>
            </w:pPr>
            <w:r>
              <w:rPr>
                <w:rFonts w:hint="eastAsia" w:ascii="仿宋" w:hAnsi="仿宋" w:eastAsia="仿宋" w:cs="仿宋"/>
                <w:color w:val="auto"/>
                <w:sz w:val="24"/>
              </w:rPr>
              <w:t>（元）</w:t>
            </w:r>
          </w:p>
        </w:tc>
        <w:tc>
          <w:tcPr>
            <w:tcW w:w="1342" w:type="dxa"/>
            <w:noWrap/>
            <w:vAlign w:val="center"/>
          </w:tcPr>
          <w:p w14:paraId="5FBA271F">
            <w:pPr>
              <w:spacing w:line="360" w:lineRule="auto"/>
              <w:jc w:val="center"/>
              <w:rPr>
                <w:rFonts w:ascii="仿宋" w:hAnsi="仿宋" w:eastAsia="仿宋" w:cs="仿宋"/>
                <w:color w:val="auto"/>
                <w:sz w:val="24"/>
              </w:rPr>
            </w:pPr>
            <w:r>
              <w:rPr>
                <w:rFonts w:hint="eastAsia" w:ascii="仿宋" w:hAnsi="仿宋" w:eastAsia="仿宋" w:cs="仿宋"/>
                <w:color w:val="auto"/>
                <w:sz w:val="24"/>
              </w:rPr>
              <w:t>总价</w:t>
            </w:r>
          </w:p>
          <w:p w14:paraId="220A590C">
            <w:pPr>
              <w:spacing w:line="360" w:lineRule="auto"/>
              <w:jc w:val="center"/>
              <w:rPr>
                <w:rFonts w:ascii="仿宋" w:hAnsi="仿宋" w:eastAsia="仿宋" w:cs="仿宋"/>
                <w:color w:val="auto"/>
                <w:sz w:val="24"/>
              </w:rPr>
            </w:pPr>
            <w:r>
              <w:rPr>
                <w:rFonts w:hint="eastAsia" w:ascii="仿宋" w:hAnsi="仿宋" w:eastAsia="仿宋" w:cs="仿宋"/>
                <w:color w:val="auto"/>
                <w:sz w:val="24"/>
              </w:rPr>
              <w:t>（万元）</w:t>
            </w:r>
          </w:p>
        </w:tc>
      </w:tr>
      <w:tr w14:paraId="76C24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788" w:type="dxa"/>
            <w:noWrap/>
            <w:vAlign w:val="center"/>
          </w:tcPr>
          <w:p w14:paraId="53632D0A">
            <w:pPr>
              <w:spacing w:line="360" w:lineRule="auto"/>
              <w:jc w:val="center"/>
              <w:rPr>
                <w:rFonts w:ascii="仿宋" w:hAnsi="仿宋" w:eastAsia="仿宋" w:cs="仿宋"/>
                <w:color w:val="auto"/>
                <w:sz w:val="24"/>
              </w:rPr>
            </w:pPr>
            <w:r>
              <w:rPr>
                <w:rFonts w:hint="eastAsia" w:ascii="仿宋" w:hAnsi="仿宋" w:eastAsia="仿宋" w:cs="仿宋"/>
                <w:color w:val="auto"/>
                <w:sz w:val="24"/>
              </w:rPr>
              <w:t>1</w:t>
            </w:r>
          </w:p>
        </w:tc>
        <w:tc>
          <w:tcPr>
            <w:tcW w:w="1336" w:type="dxa"/>
            <w:noWrap/>
            <w:vAlign w:val="center"/>
          </w:tcPr>
          <w:p w14:paraId="2E4FB43F">
            <w:pPr>
              <w:spacing w:line="360" w:lineRule="auto"/>
              <w:jc w:val="center"/>
              <w:rPr>
                <w:rFonts w:ascii="仿宋" w:hAnsi="仿宋" w:eastAsia="仿宋" w:cs="仿宋"/>
                <w:color w:val="auto"/>
                <w:sz w:val="24"/>
              </w:rPr>
            </w:pPr>
          </w:p>
        </w:tc>
        <w:tc>
          <w:tcPr>
            <w:tcW w:w="1370" w:type="dxa"/>
            <w:noWrap/>
            <w:vAlign w:val="center"/>
          </w:tcPr>
          <w:p w14:paraId="41EE8A3C">
            <w:pPr>
              <w:spacing w:line="360" w:lineRule="auto"/>
              <w:jc w:val="center"/>
              <w:rPr>
                <w:rFonts w:ascii="仿宋" w:hAnsi="仿宋" w:eastAsia="仿宋" w:cs="仿宋"/>
                <w:color w:val="auto"/>
                <w:sz w:val="24"/>
              </w:rPr>
            </w:pPr>
          </w:p>
        </w:tc>
        <w:tc>
          <w:tcPr>
            <w:tcW w:w="1232" w:type="dxa"/>
            <w:noWrap/>
            <w:vAlign w:val="center"/>
          </w:tcPr>
          <w:p w14:paraId="44C00213">
            <w:pPr>
              <w:spacing w:line="360" w:lineRule="auto"/>
              <w:jc w:val="center"/>
              <w:rPr>
                <w:rFonts w:ascii="仿宋" w:hAnsi="仿宋" w:eastAsia="仿宋" w:cs="仿宋"/>
                <w:color w:val="auto"/>
                <w:sz w:val="24"/>
              </w:rPr>
            </w:pPr>
          </w:p>
        </w:tc>
        <w:tc>
          <w:tcPr>
            <w:tcW w:w="1328" w:type="dxa"/>
            <w:noWrap/>
            <w:vAlign w:val="center"/>
          </w:tcPr>
          <w:p w14:paraId="7D12ACFE">
            <w:pPr>
              <w:spacing w:line="360" w:lineRule="auto"/>
              <w:jc w:val="center"/>
              <w:rPr>
                <w:rFonts w:ascii="仿宋" w:hAnsi="仿宋" w:eastAsia="仿宋" w:cs="仿宋"/>
                <w:color w:val="auto"/>
                <w:sz w:val="24"/>
              </w:rPr>
            </w:pPr>
          </w:p>
        </w:tc>
        <w:tc>
          <w:tcPr>
            <w:tcW w:w="1200" w:type="dxa"/>
            <w:noWrap/>
            <w:vAlign w:val="center"/>
          </w:tcPr>
          <w:p w14:paraId="05F7917D">
            <w:pPr>
              <w:spacing w:line="360" w:lineRule="auto"/>
              <w:jc w:val="center"/>
              <w:rPr>
                <w:rFonts w:ascii="仿宋" w:hAnsi="仿宋" w:eastAsia="仿宋" w:cs="仿宋"/>
                <w:color w:val="auto"/>
                <w:sz w:val="24"/>
              </w:rPr>
            </w:pPr>
          </w:p>
        </w:tc>
        <w:tc>
          <w:tcPr>
            <w:tcW w:w="1342" w:type="dxa"/>
            <w:noWrap/>
            <w:vAlign w:val="center"/>
          </w:tcPr>
          <w:p w14:paraId="5DDC964D">
            <w:pPr>
              <w:spacing w:line="360" w:lineRule="auto"/>
              <w:jc w:val="center"/>
              <w:rPr>
                <w:rFonts w:ascii="仿宋" w:hAnsi="仿宋" w:eastAsia="仿宋" w:cs="仿宋"/>
                <w:color w:val="auto"/>
                <w:sz w:val="24"/>
              </w:rPr>
            </w:pPr>
          </w:p>
        </w:tc>
      </w:tr>
      <w:tr w14:paraId="0B7EE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788" w:type="dxa"/>
            <w:noWrap/>
            <w:vAlign w:val="center"/>
          </w:tcPr>
          <w:p w14:paraId="3D2FCD46">
            <w:pPr>
              <w:spacing w:line="360" w:lineRule="auto"/>
              <w:jc w:val="center"/>
              <w:rPr>
                <w:rFonts w:ascii="仿宋" w:hAnsi="仿宋" w:eastAsia="仿宋" w:cs="仿宋"/>
                <w:color w:val="auto"/>
                <w:sz w:val="24"/>
              </w:rPr>
            </w:pPr>
            <w:r>
              <w:rPr>
                <w:rFonts w:hint="eastAsia" w:ascii="仿宋" w:hAnsi="仿宋" w:eastAsia="仿宋" w:cs="仿宋"/>
                <w:color w:val="auto"/>
                <w:sz w:val="24"/>
              </w:rPr>
              <w:t>2</w:t>
            </w:r>
          </w:p>
        </w:tc>
        <w:tc>
          <w:tcPr>
            <w:tcW w:w="1336" w:type="dxa"/>
            <w:noWrap/>
            <w:vAlign w:val="center"/>
          </w:tcPr>
          <w:p w14:paraId="7B650C1C">
            <w:pPr>
              <w:spacing w:line="360" w:lineRule="auto"/>
              <w:jc w:val="center"/>
              <w:rPr>
                <w:rFonts w:ascii="仿宋" w:hAnsi="仿宋" w:eastAsia="仿宋" w:cs="仿宋"/>
                <w:color w:val="auto"/>
                <w:sz w:val="24"/>
              </w:rPr>
            </w:pPr>
          </w:p>
        </w:tc>
        <w:tc>
          <w:tcPr>
            <w:tcW w:w="1370" w:type="dxa"/>
            <w:noWrap/>
            <w:vAlign w:val="center"/>
          </w:tcPr>
          <w:p w14:paraId="41F36832">
            <w:pPr>
              <w:spacing w:line="360" w:lineRule="auto"/>
              <w:jc w:val="center"/>
              <w:rPr>
                <w:rFonts w:ascii="仿宋" w:hAnsi="仿宋" w:eastAsia="仿宋" w:cs="仿宋"/>
                <w:color w:val="auto"/>
                <w:sz w:val="24"/>
              </w:rPr>
            </w:pPr>
          </w:p>
        </w:tc>
        <w:tc>
          <w:tcPr>
            <w:tcW w:w="1232" w:type="dxa"/>
            <w:noWrap/>
            <w:vAlign w:val="center"/>
          </w:tcPr>
          <w:p w14:paraId="7677DDBF">
            <w:pPr>
              <w:spacing w:line="360" w:lineRule="auto"/>
              <w:jc w:val="center"/>
              <w:rPr>
                <w:rFonts w:ascii="仿宋" w:hAnsi="仿宋" w:eastAsia="仿宋" w:cs="仿宋"/>
                <w:color w:val="auto"/>
                <w:sz w:val="24"/>
              </w:rPr>
            </w:pPr>
          </w:p>
        </w:tc>
        <w:tc>
          <w:tcPr>
            <w:tcW w:w="1328" w:type="dxa"/>
            <w:noWrap/>
            <w:vAlign w:val="center"/>
          </w:tcPr>
          <w:p w14:paraId="7F56DB55">
            <w:pPr>
              <w:spacing w:line="360" w:lineRule="auto"/>
              <w:jc w:val="center"/>
              <w:rPr>
                <w:rFonts w:ascii="仿宋" w:hAnsi="仿宋" w:eastAsia="仿宋" w:cs="仿宋"/>
                <w:color w:val="auto"/>
                <w:sz w:val="24"/>
              </w:rPr>
            </w:pPr>
          </w:p>
        </w:tc>
        <w:tc>
          <w:tcPr>
            <w:tcW w:w="1200" w:type="dxa"/>
            <w:noWrap/>
            <w:vAlign w:val="center"/>
          </w:tcPr>
          <w:p w14:paraId="530C2D5B">
            <w:pPr>
              <w:spacing w:line="360" w:lineRule="auto"/>
              <w:jc w:val="center"/>
              <w:rPr>
                <w:rFonts w:ascii="仿宋" w:hAnsi="仿宋" w:eastAsia="仿宋" w:cs="仿宋"/>
                <w:color w:val="auto"/>
                <w:sz w:val="24"/>
              </w:rPr>
            </w:pPr>
          </w:p>
        </w:tc>
        <w:tc>
          <w:tcPr>
            <w:tcW w:w="1342" w:type="dxa"/>
            <w:noWrap/>
            <w:vAlign w:val="center"/>
          </w:tcPr>
          <w:p w14:paraId="1C57CE23">
            <w:pPr>
              <w:spacing w:line="360" w:lineRule="auto"/>
              <w:jc w:val="center"/>
              <w:rPr>
                <w:rFonts w:ascii="仿宋" w:hAnsi="仿宋" w:eastAsia="仿宋" w:cs="仿宋"/>
                <w:color w:val="auto"/>
                <w:sz w:val="24"/>
              </w:rPr>
            </w:pPr>
          </w:p>
        </w:tc>
      </w:tr>
      <w:tr w14:paraId="6C63E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788" w:type="dxa"/>
            <w:noWrap/>
            <w:vAlign w:val="center"/>
          </w:tcPr>
          <w:p w14:paraId="2AEDA80C">
            <w:pPr>
              <w:spacing w:line="360" w:lineRule="auto"/>
              <w:jc w:val="center"/>
              <w:rPr>
                <w:rFonts w:ascii="仿宋" w:hAnsi="仿宋" w:eastAsia="仿宋" w:cs="仿宋"/>
                <w:color w:val="auto"/>
                <w:sz w:val="24"/>
              </w:rPr>
            </w:pPr>
            <w:r>
              <w:rPr>
                <w:rFonts w:hint="eastAsia" w:ascii="仿宋" w:hAnsi="仿宋" w:eastAsia="仿宋" w:cs="仿宋"/>
                <w:color w:val="auto"/>
                <w:sz w:val="24"/>
              </w:rPr>
              <w:t>3</w:t>
            </w:r>
          </w:p>
        </w:tc>
        <w:tc>
          <w:tcPr>
            <w:tcW w:w="1336" w:type="dxa"/>
            <w:noWrap/>
            <w:vAlign w:val="center"/>
          </w:tcPr>
          <w:p w14:paraId="7C7391C5">
            <w:pPr>
              <w:spacing w:line="360" w:lineRule="auto"/>
              <w:jc w:val="center"/>
              <w:rPr>
                <w:rFonts w:ascii="仿宋" w:hAnsi="仿宋" w:eastAsia="仿宋" w:cs="仿宋"/>
                <w:color w:val="auto"/>
                <w:sz w:val="24"/>
              </w:rPr>
            </w:pPr>
          </w:p>
        </w:tc>
        <w:tc>
          <w:tcPr>
            <w:tcW w:w="1370" w:type="dxa"/>
            <w:noWrap/>
            <w:vAlign w:val="center"/>
          </w:tcPr>
          <w:p w14:paraId="28D9C3EC">
            <w:pPr>
              <w:spacing w:line="360" w:lineRule="auto"/>
              <w:jc w:val="center"/>
              <w:rPr>
                <w:rFonts w:ascii="仿宋" w:hAnsi="仿宋" w:eastAsia="仿宋" w:cs="仿宋"/>
                <w:color w:val="auto"/>
                <w:sz w:val="24"/>
              </w:rPr>
            </w:pPr>
          </w:p>
        </w:tc>
        <w:tc>
          <w:tcPr>
            <w:tcW w:w="1232" w:type="dxa"/>
            <w:noWrap/>
            <w:vAlign w:val="center"/>
          </w:tcPr>
          <w:p w14:paraId="3C8EBF8B">
            <w:pPr>
              <w:spacing w:line="360" w:lineRule="auto"/>
              <w:jc w:val="center"/>
              <w:rPr>
                <w:rFonts w:ascii="仿宋" w:hAnsi="仿宋" w:eastAsia="仿宋" w:cs="仿宋"/>
                <w:color w:val="auto"/>
                <w:sz w:val="24"/>
              </w:rPr>
            </w:pPr>
          </w:p>
        </w:tc>
        <w:tc>
          <w:tcPr>
            <w:tcW w:w="1328" w:type="dxa"/>
            <w:noWrap/>
            <w:vAlign w:val="center"/>
          </w:tcPr>
          <w:p w14:paraId="5DA8690A">
            <w:pPr>
              <w:spacing w:line="360" w:lineRule="auto"/>
              <w:jc w:val="center"/>
              <w:rPr>
                <w:rFonts w:ascii="仿宋" w:hAnsi="仿宋" w:eastAsia="仿宋" w:cs="仿宋"/>
                <w:color w:val="auto"/>
                <w:sz w:val="24"/>
              </w:rPr>
            </w:pPr>
          </w:p>
        </w:tc>
        <w:tc>
          <w:tcPr>
            <w:tcW w:w="1200" w:type="dxa"/>
            <w:noWrap/>
            <w:vAlign w:val="center"/>
          </w:tcPr>
          <w:p w14:paraId="1C9D1A3A">
            <w:pPr>
              <w:spacing w:line="360" w:lineRule="auto"/>
              <w:jc w:val="center"/>
              <w:rPr>
                <w:rFonts w:ascii="仿宋" w:hAnsi="仿宋" w:eastAsia="仿宋" w:cs="仿宋"/>
                <w:color w:val="auto"/>
                <w:sz w:val="24"/>
              </w:rPr>
            </w:pPr>
          </w:p>
        </w:tc>
        <w:tc>
          <w:tcPr>
            <w:tcW w:w="1342" w:type="dxa"/>
            <w:noWrap/>
            <w:vAlign w:val="center"/>
          </w:tcPr>
          <w:p w14:paraId="15C3CF2A">
            <w:pPr>
              <w:spacing w:line="360" w:lineRule="auto"/>
              <w:jc w:val="center"/>
              <w:rPr>
                <w:rFonts w:ascii="仿宋" w:hAnsi="仿宋" w:eastAsia="仿宋" w:cs="仿宋"/>
                <w:color w:val="auto"/>
                <w:sz w:val="24"/>
              </w:rPr>
            </w:pPr>
          </w:p>
        </w:tc>
      </w:tr>
      <w:tr w14:paraId="4049C8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788" w:type="dxa"/>
            <w:noWrap/>
            <w:vAlign w:val="center"/>
          </w:tcPr>
          <w:p w14:paraId="1E2550A5">
            <w:pPr>
              <w:spacing w:line="360" w:lineRule="auto"/>
              <w:jc w:val="center"/>
              <w:rPr>
                <w:rFonts w:ascii="仿宋" w:hAnsi="仿宋" w:eastAsia="仿宋" w:cs="仿宋"/>
                <w:color w:val="auto"/>
                <w:sz w:val="24"/>
              </w:rPr>
            </w:pPr>
            <w:r>
              <w:rPr>
                <w:rFonts w:hint="eastAsia" w:ascii="仿宋" w:hAnsi="仿宋" w:eastAsia="仿宋" w:cs="仿宋"/>
                <w:color w:val="auto"/>
                <w:sz w:val="24"/>
              </w:rPr>
              <w:t>4</w:t>
            </w:r>
          </w:p>
        </w:tc>
        <w:tc>
          <w:tcPr>
            <w:tcW w:w="1336" w:type="dxa"/>
            <w:noWrap/>
            <w:vAlign w:val="center"/>
          </w:tcPr>
          <w:p w14:paraId="04198FBA">
            <w:pPr>
              <w:spacing w:line="360" w:lineRule="auto"/>
              <w:jc w:val="center"/>
              <w:rPr>
                <w:rFonts w:ascii="仿宋" w:hAnsi="仿宋" w:eastAsia="仿宋" w:cs="仿宋"/>
                <w:color w:val="auto"/>
                <w:sz w:val="24"/>
              </w:rPr>
            </w:pPr>
          </w:p>
        </w:tc>
        <w:tc>
          <w:tcPr>
            <w:tcW w:w="1370" w:type="dxa"/>
            <w:noWrap/>
            <w:vAlign w:val="center"/>
          </w:tcPr>
          <w:p w14:paraId="2236F7BF">
            <w:pPr>
              <w:spacing w:line="360" w:lineRule="auto"/>
              <w:jc w:val="center"/>
              <w:rPr>
                <w:rFonts w:ascii="仿宋" w:hAnsi="仿宋" w:eastAsia="仿宋" w:cs="仿宋"/>
                <w:color w:val="auto"/>
                <w:sz w:val="24"/>
              </w:rPr>
            </w:pPr>
          </w:p>
        </w:tc>
        <w:tc>
          <w:tcPr>
            <w:tcW w:w="1232" w:type="dxa"/>
            <w:noWrap/>
            <w:vAlign w:val="center"/>
          </w:tcPr>
          <w:p w14:paraId="0C95AF1B">
            <w:pPr>
              <w:spacing w:line="360" w:lineRule="auto"/>
              <w:jc w:val="center"/>
              <w:rPr>
                <w:rFonts w:ascii="仿宋" w:hAnsi="仿宋" w:eastAsia="仿宋" w:cs="仿宋"/>
                <w:color w:val="auto"/>
                <w:sz w:val="24"/>
              </w:rPr>
            </w:pPr>
          </w:p>
        </w:tc>
        <w:tc>
          <w:tcPr>
            <w:tcW w:w="1328" w:type="dxa"/>
            <w:noWrap/>
            <w:vAlign w:val="center"/>
          </w:tcPr>
          <w:p w14:paraId="46FB7A03">
            <w:pPr>
              <w:spacing w:line="360" w:lineRule="auto"/>
              <w:jc w:val="center"/>
              <w:rPr>
                <w:rFonts w:ascii="仿宋" w:hAnsi="仿宋" w:eastAsia="仿宋" w:cs="仿宋"/>
                <w:color w:val="auto"/>
                <w:sz w:val="24"/>
              </w:rPr>
            </w:pPr>
          </w:p>
        </w:tc>
        <w:tc>
          <w:tcPr>
            <w:tcW w:w="1200" w:type="dxa"/>
            <w:noWrap/>
            <w:vAlign w:val="center"/>
          </w:tcPr>
          <w:p w14:paraId="533E412E">
            <w:pPr>
              <w:spacing w:line="360" w:lineRule="auto"/>
              <w:jc w:val="center"/>
              <w:rPr>
                <w:rFonts w:ascii="仿宋" w:hAnsi="仿宋" w:eastAsia="仿宋" w:cs="仿宋"/>
                <w:color w:val="auto"/>
                <w:sz w:val="24"/>
              </w:rPr>
            </w:pPr>
          </w:p>
        </w:tc>
        <w:tc>
          <w:tcPr>
            <w:tcW w:w="1342" w:type="dxa"/>
            <w:noWrap/>
            <w:vAlign w:val="center"/>
          </w:tcPr>
          <w:p w14:paraId="06BCB2A0">
            <w:pPr>
              <w:spacing w:line="360" w:lineRule="auto"/>
              <w:jc w:val="center"/>
              <w:rPr>
                <w:rFonts w:ascii="仿宋" w:hAnsi="仿宋" w:eastAsia="仿宋" w:cs="仿宋"/>
                <w:color w:val="auto"/>
                <w:sz w:val="24"/>
              </w:rPr>
            </w:pPr>
          </w:p>
        </w:tc>
      </w:tr>
      <w:tr w14:paraId="49B0D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788" w:type="dxa"/>
            <w:noWrap/>
            <w:vAlign w:val="center"/>
          </w:tcPr>
          <w:p w14:paraId="05F34D01">
            <w:pPr>
              <w:spacing w:line="360" w:lineRule="auto"/>
              <w:jc w:val="center"/>
              <w:rPr>
                <w:rFonts w:ascii="仿宋" w:hAnsi="仿宋" w:eastAsia="仿宋" w:cs="仿宋"/>
                <w:color w:val="auto"/>
                <w:sz w:val="24"/>
              </w:rPr>
            </w:pPr>
            <w:r>
              <w:rPr>
                <w:rFonts w:hint="eastAsia" w:ascii="仿宋" w:hAnsi="仿宋" w:eastAsia="仿宋" w:cs="仿宋"/>
                <w:color w:val="auto"/>
                <w:sz w:val="24"/>
              </w:rPr>
              <w:t>5</w:t>
            </w:r>
          </w:p>
        </w:tc>
        <w:tc>
          <w:tcPr>
            <w:tcW w:w="1336" w:type="dxa"/>
            <w:noWrap/>
            <w:vAlign w:val="center"/>
          </w:tcPr>
          <w:p w14:paraId="042D3556">
            <w:pPr>
              <w:spacing w:line="360" w:lineRule="auto"/>
              <w:jc w:val="center"/>
              <w:rPr>
                <w:rFonts w:ascii="仿宋" w:hAnsi="仿宋" w:eastAsia="仿宋" w:cs="仿宋"/>
                <w:color w:val="auto"/>
                <w:sz w:val="24"/>
              </w:rPr>
            </w:pPr>
          </w:p>
        </w:tc>
        <w:tc>
          <w:tcPr>
            <w:tcW w:w="1370" w:type="dxa"/>
            <w:noWrap/>
            <w:vAlign w:val="center"/>
          </w:tcPr>
          <w:p w14:paraId="6665C859">
            <w:pPr>
              <w:spacing w:line="360" w:lineRule="auto"/>
              <w:jc w:val="center"/>
              <w:rPr>
                <w:rFonts w:ascii="仿宋" w:hAnsi="仿宋" w:eastAsia="仿宋" w:cs="仿宋"/>
                <w:color w:val="auto"/>
                <w:sz w:val="24"/>
              </w:rPr>
            </w:pPr>
          </w:p>
        </w:tc>
        <w:tc>
          <w:tcPr>
            <w:tcW w:w="1232" w:type="dxa"/>
            <w:noWrap/>
            <w:vAlign w:val="center"/>
          </w:tcPr>
          <w:p w14:paraId="1CC7647E">
            <w:pPr>
              <w:spacing w:line="360" w:lineRule="auto"/>
              <w:jc w:val="center"/>
              <w:rPr>
                <w:rFonts w:ascii="仿宋" w:hAnsi="仿宋" w:eastAsia="仿宋" w:cs="仿宋"/>
                <w:color w:val="auto"/>
                <w:sz w:val="24"/>
              </w:rPr>
            </w:pPr>
          </w:p>
        </w:tc>
        <w:tc>
          <w:tcPr>
            <w:tcW w:w="1328" w:type="dxa"/>
            <w:noWrap/>
            <w:vAlign w:val="center"/>
          </w:tcPr>
          <w:p w14:paraId="1BAE11E2">
            <w:pPr>
              <w:spacing w:line="360" w:lineRule="auto"/>
              <w:jc w:val="center"/>
              <w:rPr>
                <w:rFonts w:ascii="仿宋" w:hAnsi="仿宋" w:eastAsia="仿宋" w:cs="仿宋"/>
                <w:color w:val="auto"/>
                <w:sz w:val="24"/>
              </w:rPr>
            </w:pPr>
          </w:p>
        </w:tc>
        <w:tc>
          <w:tcPr>
            <w:tcW w:w="1200" w:type="dxa"/>
            <w:noWrap/>
            <w:vAlign w:val="center"/>
          </w:tcPr>
          <w:p w14:paraId="2F35FB93">
            <w:pPr>
              <w:spacing w:line="360" w:lineRule="auto"/>
              <w:jc w:val="center"/>
              <w:rPr>
                <w:rFonts w:ascii="仿宋" w:hAnsi="仿宋" w:eastAsia="仿宋" w:cs="仿宋"/>
                <w:color w:val="auto"/>
                <w:sz w:val="24"/>
              </w:rPr>
            </w:pPr>
          </w:p>
        </w:tc>
        <w:tc>
          <w:tcPr>
            <w:tcW w:w="1342" w:type="dxa"/>
            <w:noWrap/>
            <w:vAlign w:val="center"/>
          </w:tcPr>
          <w:p w14:paraId="657D0D4F">
            <w:pPr>
              <w:spacing w:line="360" w:lineRule="auto"/>
              <w:jc w:val="center"/>
              <w:rPr>
                <w:rFonts w:ascii="仿宋" w:hAnsi="仿宋" w:eastAsia="仿宋" w:cs="仿宋"/>
                <w:color w:val="auto"/>
                <w:sz w:val="24"/>
              </w:rPr>
            </w:pPr>
          </w:p>
        </w:tc>
      </w:tr>
      <w:tr w14:paraId="6D2F64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788" w:type="dxa"/>
            <w:noWrap/>
            <w:vAlign w:val="center"/>
          </w:tcPr>
          <w:p w14:paraId="4C659AEA">
            <w:pPr>
              <w:spacing w:line="360" w:lineRule="auto"/>
              <w:jc w:val="center"/>
              <w:rPr>
                <w:rFonts w:ascii="仿宋" w:hAnsi="仿宋" w:eastAsia="仿宋" w:cs="仿宋"/>
                <w:color w:val="auto"/>
                <w:sz w:val="24"/>
              </w:rPr>
            </w:pPr>
            <w:r>
              <w:rPr>
                <w:rFonts w:hint="eastAsia" w:ascii="仿宋" w:hAnsi="仿宋" w:eastAsia="仿宋" w:cs="仿宋"/>
                <w:color w:val="auto"/>
                <w:sz w:val="24"/>
              </w:rPr>
              <w:t>6</w:t>
            </w:r>
          </w:p>
        </w:tc>
        <w:tc>
          <w:tcPr>
            <w:tcW w:w="1336" w:type="dxa"/>
            <w:noWrap/>
            <w:vAlign w:val="center"/>
          </w:tcPr>
          <w:p w14:paraId="5CA6D6F8">
            <w:pPr>
              <w:spacing w:line="360" w:lineRule="auto"/>
              <w:jc w:val="center"/>
              <w:rPr>
                <w:rFonts w:ascii="仿宋" w:hAnsi="仿宋" w:eastAsia="仿宋" w:cs="仿宋"/>
                <w:color w:val="auto"/>
                <w:sz w:val="24"/>
              </w:rPr>
            </w:pPr>
          </w:p>
        </w:tc>
        <w:tc>
          <w:tcPr>
            <w:tcW w:w="1370" w:type="dxa"/>
            <w:noWrap/>
            <w:vAlign w:val="center"/>
          </w:tcPr>
          <w:p w14:paraId="6CFE734E">
            <w:pPr>
              <w:spacing w:line="360" w:lineRule="auto"/>
              <w:jc w:val="center"/>
              <w:rPr>
                <w:rFonts w:ascii="仿宋" w:hAnsi="仿宋" w:eastAsia="仿宋" w:cs="仿宋"/>
                <w:color w:val="auto"/>
                <w:sz w:val="24"/>
              </w:rPr>
            </w:pPr>
          </w:p>
        </w:tc>
        <w:tc>
          <w:tcPr>
            <w:tcW w:w="1232" w:type="dxa"/>
            <w:noWrap/>
            <w:vAlign w:val="center"/>
          </w:tcPr>
          <w:p w14:paraId="0AE5A6BB">
            <w:pPr>
              <w:spacing w:line="360" w:lineRule="auto"/>
              <w:jc w:val="center"/>
              <w:rPr>
                <w:rFonts w:ascii="仿宋" w:hAnsi="仿宋" w:eastAsia="仿宋" w:cs="仿宋"/>
                <w:color w:val="auto"/>
                <w:sz w:val="24"/>
              </w:rPr>
            </w:pPr>
          </w:p>
        </w:tc>
        <w:tc>
          <w:tcPr>
            <w:tcW w:w="1328" w:type="dxa"/>
            <w:noWrap/>
            <w:vAlign w:val="center"/>
          </w:tcPr>
          <w:p w14:paraId="70DA8BA9">
            <w:pPr>
              <w:spacing w:line="360" w:lineRule="auto"/>
              <w:jc w:val="center"/>
              <w:rPr>
                <w:rFonts w:ascii="仿宋" w:hAnsi="仿宋" w:eastAsia="仿宋" w:cs="仿宋"/>
                <w:color w:val="auto"/>
                <w:sz w:val="24"/>
              </w:rPr>
            </w:pPr>
          </w:p>
        </w:tc>
        <w:tc>
          <w:tcPr>
            <w:tcW w:w="1200" w:type="dxa"/>
            <w:noWrap/>
            <w:vAlign w:val="center"/>
          </w:tcPr>
          <w:p w14:paraId="4AF50890">
            <w:pPr>
              <w:spacing w:line="360" w:lineRule="auto"/>
              <w:jc w:val="center"/>
              <w:rPr>
                <w:rFonts w:ascii="仿宋" w:hAnsi="仿宋" w:eastAsia="仿宋" w:cs="仿宋"/>
                <w:color w:val="auto"/>
                <w:sz w:val="24"/>
              </w:rPr>
            </w:pPr>
          </w:p>
        </w:tc>
        <w:tc>
          <w:tcPr>
            <w:tcW w:w="1342" w:type="dxa"/>
            <w:noWrap/>
            <w:vAlign w:val="center"/>
          </w:tcPr>
          <w:p w14:paraId="587DBC89">
            <w:pPr>
              <w:spacing w:line="360" w:lineRule="auto"/>
              <w:jc w:val="center"/>
              <w:rPr>
                <w:rFonts w:ascii="仿宋" w:hAnsi="仿宋" w:eastAsia="仿宋" w:cs="仿宋"/>
                <w:color w:val="auto"/>
                <w:sz w:val="24"/>
              </w:rPr>
            </w:pPr>
          </w:p>
        </w:tc>
      </w:tr>
      <w:tr w14:paraId="680B68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788" w:type="dxa"/>
            <w:noWrap/>
            <w:vAlign w:val="center"/>
          </w:tcPr>
          <w:p w14:paraId="6C70E337">
            <w:pPr>
              <w:spacing w:line="360" w:lineRule="auto"/>
              <w:jc w:val="center"/>
              <w:rPr>
                <w:rFonts w:ascii="仿宋" w:hAnsi="仿宋" w:eastAsia="仿宋" w:cs="仿宋"/>
                <w:color w:val="auto"/>
                <w:sz w:val="24"/>
              </w:rPr>
            </w:pPr>
            <w:r>
              <w:rPr>
                <w:rFonts w:hint="eastAsia" w:ascii="仿宋" w:hAnsi="仿宋" w:eastAsia="仿宋" w:cs="仿宋"/>
                <w:color w:val="auto"/>
                <w:sz w:val="24"/>
              </w:rPr>
              <w:t>...</w:t>
            </w:r>
          </w:p>
        </w:tc>
        <w:tc>
          <w:tcPr>
            <w:tcW w:w="1336" w:type="dxa"/>
            <w:noWrap/>
            <w:vAlign w:val="center"/>
          </w:tcPr>
          <w:p w14:paraId="641B61E6">
            <w:pPr>
              <w:spacing w:line="360" w:lineRule="auto"/>
              <w:jc w:val="center"/>
              <w:rPr>
                <w:rFonts w:ascii="仿宋" w:hAnsi="仿宋" w:eastAsia="仿宋" w:cs="仿宋"/>
                <w:color w:val="auto"/>
                <w:sz w:val="24"/>
              </w:rPr>
            </w:pPr>
          </w:p>
        </w:tc>
        <w:tc>
          <w:tcPr>
            <w:tcW w:w="1370" w:type="dxa"/>
            <w:noWrap/>
            <w:vAlign w:val="center"/>
          </w:tcPr>
          <w:p w14:paraId="04B479C9">
            <w:pPr>
              <w:spacing w:line="360" w:lineRule="auto"/>
              <w:jc w:val="center"/>
              <w:rPr>
                <w:rFonts w:ascii="仿宋" w:hAnsi="仿宋" w:eastAsia="仿宋" w:cs="仿宋"/>
                <w:color w:val="auto"/>
                <w:sz w:val="24"/>
              </w:rPr>
            </w:pPr>
          </w:p>
        </w:tc>
        <w:tc>
          <w:tcPr>
            <w:tcW w:w="1232" w:type="dxa"/>
            <w:noWrap/>
            <w:vAlign w:val="center"/>
          </w:tcPr>
          <w:p w14:paraId="4669961D">
            <w:pPr>
              <w:spacing w:line="360" w:lineRule="auto"/>
              <w:jc w:val="center"/>
              <w:rPr>
                <w:rFonts w:ascii="仿宋" w:hAnsi="仿宋" w:eastAsia="仿宋" w:cs="仿宋"/>
                <w:color w:val="auto"/>
                <w:sz w:val="24"/>
              </w:rPr>
            </w:pPr>
          </w:p>
        </w:tc>
        <w:tc>
          <w:tcPr>
            <w:tcW w:w="1328" w:type="dxa"/>
            <w:noWrap/>
            <w:vAlign w:val="center"/>
          </w:tcPr>
          <w:p w14:paraId="7D652155">
            <w:pPr>
              <w:spacing w:line="360" w:lineRule="auto"/>
              <w:jc w:val="center"/>
              <w:rPr>
                <w:rFonts w:ascii="仿宋" w:hAnsi="仿宋" w:eastAsia="仿宋" w:cs="仿宋"/>
                <w:color w:val="auto"/>
                <w:sz w:val="24"/>
              </w:rPr>
            </w:pPr>
          </w:p>
        </w:tc>
        <w:tc>
          <w:tcPr>
            <w:tcW w:w="1200" w:type="dxa"/>
            <w:noWrap/>
            <w:vAlign w:val="center"/>
          </w:tcPr>
          <w:p w14:paraId="53873F11">
            <w:pPr>
              <w:spacing w:line="360" w:lineRule="auto"/>
              <w:jc w:val="center"/>
              <w:rPr>
                <w:rFonts w:ascii="仿宋" w:hAnsi="仿宋" w:eastAsia="仿宋" w:cs="仿宋"/>
                <w:color w:val="auto"/>
                <w:sz w:val="24"/>
              </w:rPr>
            </w:pPr>
          </w:p>
        </w:tc>
        <w:tc>
          <w:tcPr>
            <w:tcW w:w="1342" w:type="dxa"/>
            <w:noWrap/>
            <w:vAlign w:val="center"/>
          </w:tcPr>
          <w:p w14:paraId="4F86E38D">
            <w:pPr>
              <w:spacing w:line="360" w:lineRule="auto"/>
              <w:jc w:val="center"/>
              <w:rPr>
                <w:rFonts w:ascii="仿宋" w:hAnsi="仿宋" w:eastAsia="仿宋" w:cs="仿宋"/>
                <w:color w:val="auto"/>
                <w:sz w:val="24"/>
              </w:rPr>
            </w:pPr>
          </w:p>
        </w:tc>
      </w:tr>
      <w:tr w14:paraId="753DD4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2124" w:type="dxa"/>
            <w:gridSpan w:val="2"/>
            <w:noWrap/>
            <w:vAlign w:val="center"/>
          </w:tcPr>
          <w:p w14:paraId="2544768A">
            <w:pPr>
              <w:spacing w:line="360" w:lineRule="auto"/>
              <w:jc w:val="center"/>
              <w:rPr>
                <w:rFonts w:ascii="仿宋" w:hAnsi="仿宋" w:eastAsia="仿宋" w:cs="仿宋"/>
                <w:b/>
                <w:bCs/>
                <w:color w:val="auto"/>
                <w:sz w:val="24"/>
              </w:rPr>
            </w:pPr>
            <w:r>
              <w:rPr>
                <w:rFonts w:hint="eastAsia" w:ascii="仿宋" w:hAnsi="仿宋" w:eastAsia="仿宋" w:cs="仿宋"/>
                <w:b/>
                <w:bCs/>
                <w:color w:val="auto"/>
                <w:sz w:val="24"/>
              </w:rPr>
              <w:t>合计金额：</w:t>
            </w:r>
          </w:p>
        </w:tc>
        <w:tc>
          <w:tcPr>
            <w:tcW w:w="6472" w:type="dxa"/>
            <w:gridSpan w:val="5"/>
            <w:noWrap/>
            <w:vAlign w:val="center"/>
          </w:tcPr>
          <w:p w14:paraId="001EE144">
            <w:pPr>
              <w:spacing w:line="360" w:lineRule="auto"/>
              <w:jc w:val="center"/>
              <w:rPr>
                <w:rFonts w:ascii="仿宋" w:hAnsi="仿宋" w:eastAsia="仿宋" w:cs="仿宋"/>
                <w:b/>
                <w:bCs/>
                <w:color w:val="auto"/>
                <w:sz w:val="24"/>
                <w:u w:val="single"/>
              </w:rPr>
            </w:pPr>
            <w:r>
              <w:rPr>
                <w:rFonts w:hint="eastAsia" w:ascii="仿宋" w:hAnsi="仿宋" w:eastAsia="仿宋" w:cs="仿宋"/>
                <w:b/>
                <w:bCs/>
                <w:color w:val="auto"/>
                <w:sz w:val="24"/>
              </w:rPr>
              <w:t>¥元；大写：</w:t>
            </w:r>
          </w:p>
        </w:tc>
      </w:tr>
    </w:tbl>
    <w:p w14:paraId="56EC731A">
      <w:pPr>
        <w:spacing w:line="360" w:lineRule="auto"/>
        <w:rPr>
          <w:rFonts w:ascii="仿宋" w:hAnsi="仿宋" w:eastAsia="仿宋" w:cs="仿宋"/>
          <w:b/>
          <w:color w:val="auto"/>
          <w:sz w:val="24"/>
        </w:rPr>
      </w:pPr>
      <w:r>
        <w:rPr>
          <w:rFonts w:hint="eastAsia" w:ascii="仿宋" w:hAnsi="仿宋" w:eastAsia="仿宋" w:cs="仿宋"/>
          <w:b/>
          <w:color w:val="auto"/>
          <w:sz w:val="24"/>
        </w:rPr>
        <w:t>二、合同总价</w:t>
      </w:r>
    </w:p>
    <w:p w14:paraId="6E8BF1B0">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合同总价为人民币大写：</w:t>
      </w:r>
      <w:r>
        <w:rPr>
          <w:rFonts w:hint="eastAsia" w:ascii="仿宋" w:hAnsi="仿宋" w:eastAsia="仿宋" w:cs="仿宋"/>
          <w:color w:val="auto"/>
          <w:sz w:val="24"/>
          <w:u w:val="single"/>
        </w:rPr>
        <w:t xml:space="preserve">     </w:t>
      </w:r>
      <w:r>
        <w:rPr>
          <w:rFonts w:hint="eastAsia" w:ascii="仿宋" w:hAnsi="仿宋" w:eastAsia="仿宋" w:cs="仿宋"/>
          <w:color w:val="auto"/>
          <w:sz w:val="24"/>
        </w:rPr>
        <w:t>，即RMB￥</w:t>
      </w:r>
      <w:r>
        <w:rPr>
          <w:rFonts w:hint="eastAsia" w:ascii="仿宋" w:hAnsi="仿宋" w:eastAsia="仿宋" w:cs="仿宋"/>
          <w:color w:val="auto"/>
          <w:sz w:val="24"/>
          <w:u w:val="single"/>
        </w:rPr>
        <w:t xml:space="preserve">     </w:t>
      </w:r>
      <w:r>
        <w:rPr>
          <w:rFonts w:hint="eastAsia" w:ascii="仿宋" w:hAnsi="仿宋" w:eastAsia="仿宋" w:cs="仿宋"/>
          <w:color w:val="auto"/>
          <w:sz w:val="24"/>
        </w:rPr>
        <w:t>元；该合同总价已包括货物设计、材料、制造、保管、运输、保险费以及安装、调试、检验费(含设备安装验收取证费)及验收合格交付使用之前及保修期内保修服务与备用物件等所有其他有关各项的含税费用。本合同总价还包含乙方应当提供的伴随服务和售后服务费用，已包含在合同价中。本合同执行期间合同总价不变，甲方无须另向乙方支付本合同规定之外的其他任何费用。</w:t>
      </w:r>
    </w:p>
    <w:p w14:paraId="14AB6D6E">
      <w:pPr>
        <w:spacing w:line="360" w:lineRule="auto"/>
        <w:rPr>
          <w:rFonts w:ascii="仿宋" w:hAnsi="仿宋" w:eastAsia="仿宋" w:cs="仿宋"/>
          <w:color w:val="auto"/>
          <w:sz w:val="24"/>
        </w:rPr>
      </w:pPr>
      <w:r>
        <w:rPr>
          <w:rFonts w:hint="eastAsia" w:ascii="仿宋" w:hAnsi="仿宋" w:eastAsia="仿宋" w:cs="仿宋"/>
          <w:b/>
          <w:color w:val="auto"/>
          <w:sz w:val="24"/>
        </w:rPr>
        <w:t>三、交货期限与地点</w:t>
      </w:r>
    </w:p>
    <w:p w14:paraId="16F080DA">
      <w:pPr>
        <w:spacing w:line="360" w:lineRule="auto"/>
        <w:ind w:firstLine="480" w:firstLineChars="200"/>
        <w:rPr>
          <w:rFonts w:ascii="仿宋" w:hAnsi="仿宋" w:eastAsia="仿宋" w:cs="仿宋"/>
          <w:color w:val="auto"/>
          <w:sz w:val="24"/>
          <w:highlight w:val="green"/>
        </w:rPr>
      </w:pPr>
      <w:r>
        <w:rPr>
          <w:rFonts w:hint="eastAsia" w:ascii="仿宋" w:hAnsi="仿宋" w:eastAsia="仿宋" w:cs="仿宋"/>
          <w:color w:val="auto"/>
          <w:sz w:val="24"/>
        </w:rPr>
        <w:t>1、</w:t>
      </w:r>
      <w:r>
        <w:rPr>
          <w:rFonts w:hint="eastAsia" w:ascii="仿宋" w:hAnsi="仿宋" w:eastAsia="仿宋" w:cs="仿宋"/>
          <w:bCs/>
          <w:color w:val="auto"/>
          <w:sz w:val="24"/>
        </w:rPr>
        <w:t>交货期限：</w:t>
      </w:r>
      <w:r>
        <w:rPr>
          <w:rFonts w:hint="eastAsia" w:ascii="仿宋" w:hAnsi="仿宋" w:eastAsia="仿宋" w:cs="仿宋"/>
          <w:color w:val="auto"/>
          <w:sz w:val="24"/>
          <w:highlight w:val="none"/>
        </w:rPr>
        <w:t>自合同签订之日起 15 日历天内完成所有产品的供货、安装、调试工作。</w:t>
      </w:r>
    </w:p>
    <w:p w14:paraId="2CCB5B79">
      <w:pPr>
        <w:pStyle w:val="4"/>
        <w:spacing w:line="360" w:lineRule="auto"/>
        <w:rPr>
          <w:rFonts w:ascii="仿宋" w:hAnsi="仿宋" w:eastAsia="仿宋" w:cs="仿宋"/>
          <w:color w:val="auto"/>
        </w:rPr>
      </w:pPr>
      <w:r>
        <w:rPr>
          <w:rFonts w:hint="eastAsia" w:ascii="仿宋" w:hAnsi="仿宋" w:eastAsia="仿宋" w:cs="仿宋"/>
          <w:color w:val="auto"/>
          <w:sz w:val="24"/>
        </w:rPr>
        <w:t xml:space="preserve">    2、供货地点：甲方指定地点。</w:t>
      </w:r>
    </w:p>
    <w:p w14:paraId="568A36F2">
      <w:pPr>
        <w:spacing w:line="360" w:lineRule="auto"/>
        <w:rPr>
          <w:rFonts w:ascii="仿宋" w:hAnsi="仿宋" w:eastAsia="仿宋" w:cs="仿宋"/>
          <w:b/>
          <w:color w:val="auto"/>
          <w:sz w:val="24"/>
        </w:rPr>
      </w:pPr>
      <w:r>
        <w:rPr>
          <w:rFonts w:hint="eastAsia" w:ascii="仿宋" w:hAnsi="仿宋" w:eastAsia="仿宋" w:cs="仿宋"/>
          <w:b/>
          <w:color w:val="auto"/>
          <w:sz w:val="24"/>
        </w:rPr>
        <w:t>四、付款方式</w:t>
      </w:r>
    </w:p>
    <w:p w14:paraId="39B68211">
      <w:pPr>
        <w:pStyle w:val="4"/>
        <w:spacing w:line="360" w:lineRule="auto"/>
        <w:rPr>
          <w:rFonts w:ascii="仿宋" w:hAnsi="仿宋" w:eastAsia="仿宋" w:cs="仿宋"/>
          <w:color w:val="auto"/>
          <w:sz w:val="24"/>
        </w:rPr>
      </w:pPr>
      <w:r>
        <w:rPr>
          <w:rFonts w:hint="eastAsia" w:ascii="仿宋" w:hAnsi="仿宋" w:eastAsia="仿宋" w:cs="仿宋"/>
          <w:color w:val="auto"/>
          <w:sz w:val="24"/>
        </w:rPr>
        <w:t>（1）结算方式：银行转账。</w:t>
      </w:r>
    </w:p>
    <w:p w14:paraId="775D913B">
      <w:pPr>
        <w:pStyle w:val="4"/>
        <w:spacing w:line="360" w:lineRule="auto"/>
        <w:rPr>
          <w:rFonts w:ascii="仿宋" w:hAnsi="仿宋" w:eastAsia="仿宋" w:cs="仿宋"/>
          <w:color w:val="auto"/>
          <w:sz w:val="24"/>
        </w:rPr>
      </w:pPr>
      <w:r>
        <w:rPr>
          <w:rFonts w:hint="eastAsia" w:ascii="仿宋" w:hAnsi="仿宋" w:eastAsia="仿宋" w:cs="仿宋"/>
          <w:color w:val="auto"/>
          <w:sz w:val="24"/>
        </w:rPr>
        <w:t>（2）付款方式：</w:t>
      </w:r>
    </w:p>
    <w:p w14:paraId="55A622BE">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2.1终验收合格后支付。</w:t>
      </w:r>
    </w:p>
    <w:p w14:paraId="6CB54750">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 xml:space="preserve">2.2由采购人负责结算，在付款前，供应商必须开具相应金额发票给采购人（附详细清单）。  </w:t>
      </w:r>
    </w:p>
    <w:p w14:paraId="5DAE2F2A">
      <w:pPr>
        <w:spacing w:line="360" w:lineRule="auto"/>
        <w:rPr>
          <w:rFonts w:ascii="仿宋" w:hAnsi="仿宋" w:eastAsia="仿宋" w:cs="仿宋"/>
          <w:b/>
          <w:color w:val="auto"/>
          <w:sz w:val="24"/>
        </w:rPr>
      </w:pPr>
      <w:r>
        <w:rPr>
          <w:rFonts w:hint="eastAsia" w:ascii="仿宋" w:hAnsi="仿宋" w:eastAsia="仿宋" w:cs="仿宋"/>
          <w:b/>
          <w:color w:val="auto"/>
          <w:sz w:val="24"/>
        </w:rPr>
        <w:t>五、货物验收</w:t>
      </w:r>
    </w:p>
    <w:p w14:paraId="41047B42">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1.货物验收由甲方组织，乙方配合，并按下列程序进行：</w:t>
      </w:r>
    </w:p>
    <w:p w14:paraId="2333075D">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(1) 供货验收时，乙方须提供质检部门产品抽样检查合格的检测报告(或生产厂家自检报告)及所提供货物(产品)的合格证、装箱清单、配件、随机工具、用户使用手册 (产品使用说明书)、保修卡等资料交付给甲方；</w:t>
      </w:r>
    </w:p>
    <w:p w14:paraId="7973092A">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(2) 到货验收：货物到达后，按合同第一条款的货物清单和装箱单经行逐一核对， 同时检查货物外观，是否有划痕或破损的，并做好相应记录；</w:t>
      </w:r>
    </w:p>
    <w:p w14:paraId="227419F1">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按乙方承诺的产品包装环保材料进行验收，必要时乙方需提供检测报告，甲方发现虚假承诺时，将扣除总货款的5%作为处罚。</w:t>
      </w:r>
    </w:p>
    <w:p w14:paraId="4D766296">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3）项目使用前由具有相关资质的环境检测机构，对所供货物安装或摆放的室内空间进行甲醛等有害气体清除并做空气质量检测验收，符合《符合室内空气质量标准》（GB/T1883-2002）要求，并提供检测报告，若是由于所供货物造成检测不符合标准或不合格，供应商应及时进行整改或免费更换，直至检测合格后再进行设备终验。</w:t>
      </w:r>
    </w:p>
    <w:p w14:paraId="1834A67C">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(4) 质量验收合格，双方签署质量验收报告。</w:t>
      </w:r>
    </w:p>
    <w:p w14:paraId="1F6DE543">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 xml:space="preserve"> 2.货物验收依据：</w:t>
      </w:r>
    </w:p>
    <w:p w14:paraId="0F11B377">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(1) 招标文件；</w:t>
      </w:r>
    </w:p>
    <w:p w14:paraId="6E2379F4">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(2) 投标文件；</w:t>
      </w:r>
    </w:p>
    <w:p w14:paraId="3BD8A517">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(3) 采购合同及补充协议；</w:t>
      </w:r>
    </w:p>
    <w:p w14:paraId="6B626748">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 xml:space="preserve">(4) 质检部门抽样检查货物(产品)合格的检测报告。 </w:t>
      </w:r>
    </w:p>
    <w:p w14:paraId="33210772">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3.货物验收时发现问题的处理办法：</w:t>
      </w:r>
    </w:p>
    <w:p w14:paraId="6584647A">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(1) 乙方提供不符合招标文件和本合同规定的货物(产品)，甲方有权拒绝接受；</w:t>
      </w:r>
    </w:p>
    <w:p w14:paraId="7A856E49">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(2) 如发现所交付的货物有短装、次品、损坏或其它不符合标准及本合同规定之情形者，甲方有权要求更换货物 (产品)，同时做出详尽的现场记录，或由甲乙双方签署备忘录，此现场记录或备忘录可用作补充、缺失和更换损坏部件或更换整个货物 (产品) 有效证据，由此产生的时间延 误与有关费用由乙方承担，验收期限相应顺延；</w:t>
      </w:r>
    </w:p>
    <w:p w14:paraId="31766715">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(3) 如货物经乙方</w:t>
      </w:r>
      <w:r>
        <w:rPr>
          <w:rFonts w:hint="eastAsia" w:ascii="仿宋" w:hAnsi="仿宋" w:eastAsia="仿宋" w:cs="仿宋"/>
          <w:color w:val="auto"/>
          <w:sz w:val="24"/>
          <w:u w:val="single"/>
        </w:rPr>
        <w:t xml:space="preserve"> 3 </w:t>
      </w:r>
      <w:r>
        <w:rPr>
          <w:rFonts w:hint="eastAsia" w:ascii="仿宋" w:hAnsi="仿宋" w:eastAsia="仿宋" w:cs="仿宋"/>
          <w:color w:val="auto"/>
          <w:sz w:val="24"/>
        </w:rPr>
        <w:t>次维修仍不能达到合同约定的质量标准，甲方有权退货，并视作乙方 不能交付货物而须支付违约赔偿金给甲方，甲方还可依法追究乙方的违约责任；</w:t>
      </w:r>
    </w:p>
    <w:p w14:paraId="1F1BDA83">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(4) 货物安装完成后</w:t>
      </w:r>
      <w:r>
        <w:rPr>
          <w:rFonts w:hint="eastAsia" w:ascii="仿宋" w:hAnsi="仿宋" w:eastAsia="仿宋" w:cs="仿宋"/>
          <w:color w:val="auto"/>
          <w:sz w:val="24"/>
          <w:u w:val="single"/>
        </w:rPr>
        <w:t xml:space="preserve"> 5 </w:t>
      </w:r>
      <w:r>
        <w:rPr>
          <w:rFonts w:hint="eastAsia" w:ascii="仿宋" w:hAnsi="仿宋" w:eastAsia="仿宋" w:cs="仿宋"/>
          <w:color w:val="auto"/>
          <w:sz w:val="24"/>
        </w:rPr>
        <w:t>日内，甲方无故不进行验收工作并已使用货物的，视同已安装调试完成并验收合格；</w:t>
      </w:r>
    </w:p>
    <w:p w14:paraId="404273E9">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(5) 乙方不能完整交付货物及本条第一款规定的单证和工具的，必须负责补齐，否则视为未按合同约定供货。</w:t>
      </w:r>
    </w:p>
    <w:p w14:paraId="776F7521">
      <w:pPr>
        <w:spacing w:line="360" w:lineRule="auto"/>
        <w:rPr>
          <w:rFonts w:ascii="仿宋" w:hAnsi="仿宋" w:eastAsia="仿宋" w:cs="仿宋"/>
          <w:b/>
          <w:color w:val="auto"/>
          <w:sz w:val="24"/>
        </w:rPr>
      </w:pPr>
      <w:r>
        <w:rPr>
          <w:rFonts w:hint="eastAsia" w:ascii="仿宋" w:hAnsi="仿宋" w:eastAsia="仿宋" w:cs="仿宋"/>
          <w:b/>
          <w:color w:val="auto"/>
          <w:sz w:val="24"/>
        </w:rPr>
        <w:t>六、质量要求</w:t>
      </w:r>
    </w:p>
    <w:p w14:paraId="4B925379">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1、乙方须提供全新的货物、未使用过的合格正品货物（含零部件、配件等），表面无划伤、无碰撞痕迹，且权属清楚，不得侵害他人的知识产权。</w:t>
      </w:r>
    </w:p>
    <w:p w14:paraId="168D02E7">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2、乙方提供的节能和环保产品必须是列入节能、环保标志产品品目清单中的产品。</w:t>
      </w:r>
    </w:p>
    <w:p w14:paraId="393D56F0">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3、质量标准按照最新颁布的国家标准、行业标准或制造商企业标准确定，上述标准不一致的，以严格标准为准。</w:t>
      </w:r>
    </w:p>
    <w:p w14:paraId="2111A85E">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4、货物制造质量出现问题，乙方应负责三包（包修、包换、包退），费用由乙方负担，甲方有权到乙方生产场地检查货物质量和生产进度。</w:t>
      </w:r>
    </w:p>
    <w:p w14:paraId="44AE1C0C">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 xml:space="preserve">5、乙方所提供货物还应符合国家和陕西省有关安全、环保、节能之规定，“3C”认证的货物（产品）应加贴“3C”认证标志。 </w:t>
      </w:r>
    </w:p>
    <w:p w14:paraId="033D2E94">
      <w:pPr>
        <w:pStyle w:val="6"/>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rPr>
        <w:t>6、质保期：</w:t>
      </w:r>
      <w:r>
        <w:rPr>
          <w:rFonts w:hint="eastAsia" w:ascii="仿宋" w:hAnsi="仿宋" w:eastAsia="仿宋" w:cs="仿宋"/>
          <w:color w:val="auto"/>
          <w:sz w:val="24"/>
          <w:highlight w:val="none"/>
        </w:rPr>
        <w:t>质保期大于等于 2 年，且不得低于产品生产商对产品保修期标准。</w:t>
      </w:r>
    </w:p>
    <w:p w14:paraId="2DFFE11C">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7、电子产品必须具有扩展性、兼容性、稳定性以及能与学校现有的市区网络设备和平台相匹配对接功能和端口。计算机不得是组装机。（如涉及）</w:t>
      </w:r>
    </w:p>
    <w:p w14:paraId="72A299FB">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8、供应商</w:t>
      </w:r>
      <w:r>
        <w:rPr>
          <w:rFonts w:ascii="仿宋" w:hAnsi="仿宋" w:eastAsia="仿宋" w:cs="仿宋"/>
          <w:color w:val="auto"/>
          <w:sz w:val="24"/>
        </w:rPr>
        <w:t>提供的产品及材料必须保证质量可靠，为市场最新或主流产品，产品具有合格证，进货渠道正常，配置合理齐全，应全部满足（或高于优于）招标文件的要求，招标文件未明确要求的内容，</w:t>
      </w:r>
      <w:r>
        <w:rPr>
          <w:rFonts w:hint="eastAsia" w:ascii="仿宋" w:hAnsi="仿宋" w:eastAsia="仿宋" w:cs="仿宋"/>
          <w:color w:val="auto"/>
          <w:sz w:val="24"/>
        </w:rPr>
        <w:t>供应商</w:t>
      </w:r>
      <w:r>
        <w:rPr>
          <w:rFonts w:ascii="仿宋" w:hAnsi="仿宋" w:eastAsia="仿宋" w:cs="仿宋"/>
          <w:color w:val="auto"/>
          <w:sz w:val="24"/>
        </w:rPr>
        <w:t>必须按采购产品市场主流标准配置和采购人补充要求为准。所供产品所用原料和材料及工艺质量必须符合国家最新颁布的各项规范标准和制度要求，如发生质量问题由</w:t>
      </w:r>
      <w:r>
        <w:rPr>
          <w:rFonts w:hint="eastAsia" w:ascii="仿宋" w:hAnsi="仿宋" w:eastAsia="仿宋" w:cs="仿宋"/>
          <w:color w:val="auto"/>
          <w:sz w:val="24"/>
        </w:rPr>
        <w:t>供应商</w:t>
      </w:r>
      <w:r>
        <w:rPr>
          <w:rFonts w:ascii="仿宋" w:hAnsi="仿宋" w:eastAsia="仿宋" w:cs="仿宋"/>
          <w:color w:val="auto"/>
          <w:sz w:val="24"/>
        </w:rPr>
        <w:t>承担全部责任。</w:t>
      </w:r>
    </w:p>
    <w:p w14:paraId="3BE25DB3">
      <w:pPr>
        <w:spacing w:line="360" w:lineRule="auto"/>
        <w:rPr>
          <w:rFonts w:ascii="仿宋" w:hAnsi="仿宋" w:eastAsia="仿宋" w:cs="仿宋"/>
          <w:b/>
          <w:color w:val="auto"/>
          <w:sz w:val="24"/>
        </w:rPr>
      </w:pPr>
      <w:r>
        <w:rPr>
          <w:rFonts w:hint="eastAsia" w:ascii="仿宋" w:hAnsi="仿宋" w:eastAsia="仿宋" w:cs="仿宋"/>
          <w:b/>
          <w:color w:val="auto"/>
          <w:sz w:val="24"/>
        </w:rPr>
        <w:t>七、运输、安装、调试要求</w:t>
      </w:r>
    </w:p>
    <w:p w14:paraId="505004D3">
      <w:pPr>
        <w:tabs>
          <w:tab w:val="left" w:pos="840"/>
        </w:tabs>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1、供应商根据产品特性，自行选择运输及包装方式，承担一切运输费用，包括从生产厂到采购人指定供货地点所需的装卸、运输（含保险费）及其他一切费用；货物风险自采购人收到货物且书面验收合格后转移至采购人。</w:t>
      </w:r>
    </w:p>
    <w:p w14:paraId="7030E1C1">
      <w:pPr>
        <w:tabs>
          <w:tab w:val="left" w:pos="840"/>
        </w:tabs>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2、由供应商负责派技术人员到现场进行安装、调试至验收合格。供应商应在合同签订后一周内，向采购人提供安装、调试及试运行的进度计划表。</w:t>
      </w:r>
    </w:p>
    <w:p w14:paraId="30FD667A">
      <w:pPr>
        <w:tabs>
          <w:tab w:val="left" w:pos="840"/>
        </w:tabs>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3、供应商应在合同规定的安装调试期内完成该项工作,如因供应商责任而造成延期，每超过一天按合同总价款的（1‰）支付采购人误期赔偿金，直至供货或提供服务结束为止，所有因延期而产生的费用由供应商自行承担。</w:t>
      </w:r>
    </w:p>
    <w:p w14:paraId="6207F660">
      <w:pPr>
        <w:tabs>
          <w:tab w:val="left" w:pos="840"/>
        </w:tabs>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4、安装和调试期间所发生的费用均由供应商负责。</w:t>
      </w:r>
    </w:p>
    <w:p w14:paraId="760B6E6F">
      <w:pPr>
        <w:tabs>
          <w:tab w:val="left" w:pos="840"/>
        </w:tabs>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5、供应商应对安装调试、整改等实施过程的安全负责，如发生人身伤亡、财产损失的由供应商负责解决并承担全部责任。</w:t>
      </w:r>
    </w:p>
    <w:p w14:paraId="242580C4">
      <w:pPr>
        <w:spacing w:line="360" w:lineRule="auto"/>
        <w:rPr>
          <w:rFonts w:ascii="仿宋" w:hAnsi="仿宋" w:eastAsia="仿宋" w:cs="仿宋"/>
          <w:b/>
          <w:color w:val="auto"/>
          <w:sz w:val="24"/>
        </w:rPr>
      </w:pPr>
      <w:r>
        <w:rPr>
          <w:rFonts w:hint="eastAsia" w:ascii="仿宋" w:hAnsi="仿宋" w:eastAsia="仿宋" w:cs="仿宋"/>
          <w:b/>
          <w:color w:val="auto"/>
          <w:sz w:val="24"/>
        </w:rPr>
        <w:t>八、技术支持</w:t>
      </w:r>
    </w:p>
    <w:p w14:paraId="42703039">
      <w:pPr>
        <w:tabs>
          <w:tab w:val="left" w:pos="840"/>
        </w:tabs>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提供全年7×24小时的技术咨询服务,供应商怠于或无法提供技术支持的，采购人有权委托第三方处理，由此产生的费用和后果由供应商负责，费用直接从应付款或质保金中扣除。</w:t>
      </w:r>
    </w:p>
    <w:p w14:paraId="49AF369B">
      <w:pPr>
        <w:tabs>
          <w:tab w:val="left" w:pos="840"/>
        </w:tabs>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供应商在项目实施过程中，质量保障人员、资源不足或者执力不足，给项目质量带来的风险超出采购人认定的允许范围时，采购人可终止本项目的合作并进行索赔。</w:t>
      </w:r>
    </w:p>
    <w:p w14:paraId="35DF54B1">
      <w:pPr>
        <w:spacing w:line="360" w:lineRule="auto"/>
        <w:rPr>
          <w:rFonts w:ascii="仿宋" w:hAnsi="仿宋" w:eastAsia="仿宋" w:cs="仿宋"/>
          <w:b/>
          <w:color w:val="auto"/>
          <w:sz w:val="24"/>
        </w:rPr>
      </w:pPr>
      <w:r>
        <w:rPr>
          <w:rFonts w:hint="eastAsia" w:ascii="仿宋" w:hAnsi="仿宋" w:eastAsia="仿宋" w:cs="仿宋"/>
          <w:b/>
          <w:color w:val="auto"/>
          <w:sz w:val="24"/>
        </w:rPr>
        <w:t>九、技术资料要求</w:t>
      </w:r>
    </w:p>
    <w:p w14:paraId="52C49858">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供应商应向采购人提供全套中文技术资料一套，包含但不限于以下内容：</w:t>
      </w:r>
    </w:p>
    <w:p w14:paraId="242CDFE3">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1、完整的产品操作使用手册、说明书和维护、修理技术文件、图纸、保修卡等；</w:t>
      </w:r>
    </w:p>
    <w:p w14:paraId="054FD18A">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2、制造厂的检验、测试报告、产品检验合格证书，质量保证书等文件验收时需提供；</w:t>
      </w:r>
    </w:p>
    <w:p w14:paraId="112216D9">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3、必须的其它技术资料；</w:t>
      </w:r>
    </w:p>
    <w:p w14:paraId="748F9F85">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4、产品验收标准；</w:t>
      </w:r>
    </w:p>
    <w:p w14:paraId="2AFB6D28">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5、技术说明书；</w:t>
      </w:r>
    </w:p>
    <w:p w14:paraId="53AD43D7">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6、零部件目录；</w:t>
      </w:r>
    </w:p>
    <w:p w14:paraId="787C6F3E">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7、项目完工后提供验收报告；</w:t>
      </w:r>
    </w:p>
    <w:p w14:paraId="77662C5C">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8、合同中要求的其他文件资料。</w:t>
      </w:r>
    </w:p>
    <w:p w14:paraId="526FA329">
      <w:pPr>
        <w:tabs>
          <w:tab w:val="left" w:pos="840"/>
        </w:tabs>
        <w:spacing w:line="360" w:lineRule="auto"/>
        <w:rPr>
          <w:rFonts w:ascii="仿宋" w:hAnsi="仿宋" w:eastAsia="仿宋" w:cs="仿宋"/>
          <w:b/>
          <w:color w:val="auto"/>
          <w:sz w:val="24"/>
        </w:rPr>
      </w:pPr>
      <w:r>
        <w:rPr>
          <w:rFonts w:hint="eastAsia" w:ascii="仿宋" w:hAnsi="仿宋" w:eastAsia="仿宋" w:cs="仿宋"/>
          <w:b/>
          <w:color w:val="auto"/>
          <w:sz w:val="24"/>
        </w:rPr>
        <w:t>十、违约责任</w:t>
      </w:r>
    </w:p>
    <w:p w14:paraId="74B59DCD">
      <w:pPr>
        <w:spacing w:line="360" w:lineRule="auto"/>
        <w:rPr>
          <w:rFonts w:ascii="仿宋" w:hAnsi="仿宋" w:eastAsia="仿宋" w:cs="仿宋"/>
          <w:color w:val="auto"/>
          <w:sz w:val="24"/>
        </w:rPr>
      </w:pPr>
      <w:r>
        <w:rPr>
          <w:rFonts w:ascii="仿宋" w:hAnsi="仿宋" w:eastAsia="仿宋" w:cs="仿宋"/>
          <w:color w:val="auto"/>
          <w:sz w:val="24"/>
        </w:rPr>
        <w:t>1. 甲方违约责任</w:t>
      </w:r>
    </w:p>
    <w:p w14:paraId="5119AE7D">
      <w:pPr>
        <w:spacing w:line="360" w:lineRule="auto"/>
        <w:ind w:left="366"/>
        <w:rPr>
          <w:rFonts w:ascii="仿宋" w:hAnsi="仿宋" w:eastAsia="仿宋" w:cs="仿宋"/>
          <w:color w:val="auto"/>
          <w:sz w:val="24"/>
        </w:rPr>
      </w:pPr>
      <w:r>
        <w:rPr>
          <w:rFonts w:ascii="仿宋" w:hAnsi="仿宋" w:eastAsia="仿宋" w:cs="仿宋"/>
          <w:color w:val="auto"/>
          <w:sz w:val="24"/>
        </w:rPr>
        <w:t>(1)甲方无正当理由拒收货物的，甲方应偿付合同总价</w:t>
      </w:r>
      <w:r>
        <w:rPr>
          <w:rFonts w:ascii="仿宋" w:hAnsi="仿宋" w:eastAsia="仿宋" w:cs="仿宋"/>
          <w:color w:val="auto"/>
          <w:sz w:val="24"/>
          <w:u w:val="single"/>
        </w:rPr>
        <w:t>3</w:t>
      </w:r>
      <w:r>
        <w:rPr>
          <w:rFonts w:ascii="仿宋" w:hAnsi="仿宋" w:eastAsia="仿宋" w:cs="仿宋"/>
          <w:color w:val="auto"/>
          <w:sz w:val="24"/>
        </w:rPr>
        <w:t>%的违约金；</w:t>
      </w:r>
    </w:p>
    <w:p w14:paraId="3AB0BDB8">
      <w:pPr>
        <w:spacing w:line="360" w:lineRule="auto"/>
        <w:ind w:left="2" w:right="2" w:firstLine="364"/>
        <w:rPr>
          <w:rFonts w:ascii="仿宋" w:hAnsi="仿宋" w:eastAsia="仿宋" w:cs="仿宋"/>
          <w:color w:val="auto"/>
          <w:sz w:val="24"/>
        </w:rPr>
      </w:pPr>
      <w:r>
        <w:rPr>
          <w:rFonts w:ascii="仿宋" w:hAnsi="仿宋" w:eastAsia="仿宋" w:cs="仿宋"/>
          <w:color w:val="auto"/>
          <w:sz w:val="24"/>
        </w:rPr>
        <w:t>(2)甲方逾期支付货款的，除应及时付足货款外，应向乙方每天支付欠款总额</w:t>
      </w:r>
      <w:r>
        <w:rPr>
          <w:rFonts w:ascii="仿宋" w:hAnsi="仿宋" w:eastAsia="仿宋" w:cs="仿宋"/>
          <w:color w:val="auto"/>
          <w:sz w:val="24"/>
          <w:u w:val="single"/>
        </w:rPr>
        <w:t>3</w:t>
      </w:r>
      <w:r>
        <w:rPr>
          <w:rFonts w:ascii="仿宋" w:hAnsi="仿宋" w:eastAsia="仿宋" w:cs="仿宋"/>
          <w:color w:val="auto"/>
          <w:sz w:val="24"/>
        </w:rPr>
        <w:t>‰的滞纳金；但累计滞纳金总额不超过欠款总额的</w:t>
      </w:r>
      <w:r>
        <w:rPr>
          <w:rFonts w:ascii="仿宋" w:hAnsi="仿宋" w:eastAsia="仿宋" w:cs="仿宋"/>
          <w:color w:val="auto"/>
          <w:sz w:val="24"/>
          <w:u w:val="single"/>
        </w:rPr>
        <w:t>5</w:t>
      </w:r>
      <w:r>
        <w:rPr>
          <w:rFonts w:ascii="仿宋" w:hAnsi="仿宋" w:eastAsia="仿宋" w:cs="仿宋"/>
          <w:color w:val="auto"/>
          <w:sz w:val="24"/>
        </w:rPr>
        <w:t>%。</w:t>
      </w:r>
    </w:p>
    <w:p w14:paraId="07F07DB5">
      <w:pPr>
        <w:spacing w:line="360" w:lineRule="auto"/>
        <w:rPr>
          <w:rFonts w:ascii="仿宋" w:hAnsi="仿宋" w:eastAsia="仿宋" w:cs="仿宋"/>
          <w:color w:val="auto"/>
          <w:sz w:val="24"/>
        </w:rPr>
      </w:pPr>
      <w:r>
        <w:rPr>
          <w:rFonts w:ascii="仿宋" w:hAnsi="仿宋" w:eastAsia="仿宋" w:cs="仿宋"/>
          <w:color w:val="auto"/>
          <w:position w:val="1"/>
          <w:sz w:val="24"/>
        </w:rPr>
        <w:t>2.乙方违约责任</w:t>
      </w:r>
    </w:p>
    <w:p w14:paraId="63136E8F">
      <w:pPr>
        <w:spacing w:line="360" w:lineRule="auto"/>
        <w:ind w:right="36" w:firstLine="426"/>
        <w:rPr>
          <w:rFonts w:ascii="仿宋" w:hAnsi="仿宋" w:eastAsia="仿宋" w:cs="仿宋"/>
          <w:color w:val="auto"/>
          <w:sz w:val="24"/>
        </w:rPr>
      </w:pPr>
      <w:r>
        <w:rPr>
          <w:rFonts w:ascii="仿宋" w:hAnsi="仿宋" w:eastAsia="仿宋" w:cs="仿宋"/>
          <w:color w:val="auto"/>
          <w:sz w:val="24"/>
        </w:rPr>
        <w:t>(1) 如乙方不能交付货物，甲方有权扣留全部履约保证金；同时乙方应向甲方支付合同总价</w:t>
      </w:r>
      <w:r>
        <w:rPr>
          <w:rFonts w:ascii="仿宋" w:hAnsi="仿宋" w:eastAsia="仿宋" w:cs="仿宋"/>
          <w:color w:val="auto"/>
          <w:sz w:val="24"/>
          <w:u w:val="single"/>
        </w:rPr>
        <w:t>5</w:t>
      </w:r>
      <w:r>
        <w:rPr>
          <w:rFonts w:ascii="仿宋" w:hAnsi="仿宋" w:eastAsia="仿宋" w:cs="仿宋"/>
          <w:color w:val="auto"/>
          <w:sz w:val="24"/>
        </w:rPr>
        <w:t>％的违约金；</w:t>
      </w:r>
    </w:p>
    <w:p w14:paraId="7680E9F7">
      <w:pPr>
        <w:spacing w:line="360" w:lineRule="auto"/>
        <w:ind w:left="4" w:right="2" w:firstLine="421"/>
        <w:rPr>
          <w:rFonts w:ascii="仿宋" w:hAnsi="仿宋" w:eastAsia="仿宋" w:cs="仿宋"/>
          <w:color w:val="auto"/>
          <w:sz w:val="24"/>
        </w:rPr>
      </w:pPr>
      <w:r>
        <w:rPr>
          <w:rFonts w:ascii="仿宋" w:hAnsi="仿宋" w:eastAsia="仿宋" w:cs="仿宋"/>
          <w:color w:val="auto"/>
          <w:sz w:val="24"/>
        </w:rPr>
        <w:t>(2) 乙方逾期交付货物的，每逾期 1 天，乙方向甲方偿付逾期</w:t>
      </w:r>
      <w:r>
        <w:rPr>
          <w:rFonts w:hint="eastAsia" w:ascii="仿宋" w:hAnsi="仿宋" w:eastAsia="仿宋" w:cs="仿宋"/>
          <w:color w:val="auto"/>
          <w:sz w:val="24"/>
        </w:rPr>
        <w:t>供货</w:t>
      </w:r>
      <w:r>
        <w:rPr>
          <w:rFonts w:ascii="仿宋" w:hAnsi="仿宋" w:eastAsia="仿宋" w:cs="仿宋"/>
          <w:color w:val="auto"/>
          <w:sz w:val="24"/>
        </w:rPr>
        <w:t>部分货款总额的</w:t>
      </w:r>
      <w:r>
        <w:rPr>
          <w:rFonts w:ascii="仿宋" w:hAnsi="仿宋" w:eastAsia="仿宋" w:cs="仿宋"/>
          <w:color w:val="auto"/>
          <w:sz w:val="24"/>
          <w:u w:val="single"/>
        </w:rPr>
        <w:t>5</w:t>
      </w:r>
      <w:r>
        <w:rPr>
          <w:rFonts w:ascii="仿宋" w:hAnsi="仿宋" w:eastAsia="仿宋" w:cs="仿宋"/>
          <w:color w:val="auto"/>
          <w:sz w:val="24"/>
        </w:rPr>
        <w:t>‰的滞 纳金。如乙方逾期</w:t>
      </w:r>
      <w:r>
        <w:rPr>
          <w:rFonts w:hint="eastAsia" w:ascii="仿宋" w:hAnsi="仿宋" w:eastAsia="仿宋" w:cs="仿宋"/>
          <w:color w:val="auto"/>
          <w:sz w:val="24"/>
        </w:rPr>
        <w:t>供货</w:t>
      </w:r>
      <w:r>
        <w:rPr>
          <w:rFonts w:ascii="仿宋" w:hAnsi="仿宋" w:eastAsia="仿宋" w:cs="仿宋"/>
          <w:color w:val="auto"/>
          <w:sz w:val="24"/>
        </w:rPr>
        <w:t>达</w:t>
      </w:r>
      <w:r>
        <w:rPr>
          <w:rFonts w:ascii="仿宋" w:hAnsi="仿宋" w:eastAsia="仿宋" w:cs="仿宋"/>
          <w:color w:val="auto"/>
          <w:sz w:val="24"/>
          <w:u w:val="single"/>
        </w:rPr>
        <w:t>10</w:t>
      </w:r>
      <w:r>
        <w:rPr>
          <w:rFonts w:ascii="仿宋" w:hAnsi="仿宋" w:eastAsia="仿宋" w:cs="仿宋"/>
          <w:color w:val="auto"/>
          <w:sz w:val="24"/>
        </w:rPr>
        <w:t>天甲方有权解除合同，解除合同的通知自到达乙方时生效；</w:t>
      </w:r>
    </w:p>
    <w:p w14:paraId="39DAED62">
      <w:pPr>
        <w:spacing w:line="360" w:lineRule="auto"/>
        <w:ind w:left="17" w:right="84" w:firstLine="409"/>
        <w:rPr>
          <w:rFonts w:ascii="仿宋" w:hAnsi="仿宋" w:eastAsia="仿宋" w:cs="仿宋"/>
          <w:color w:val="auto"/>
          <w:sz w:val="24"/>
        </w:rPr>
      </w:pPr>
      <w:r>
        <w:rPr>
          <w:rFonts w:ascii="仿宋" w:hAnsi="仿宋" w:eastAsia="仿宋" w:cs="仿宋"/>
          <w:color w:val="auto"/>
          <w:sz w:val="24"/>
        </w:rPr>
        <w:t>(3)乙方所交付的货物品种、型号、规格不符合合同规定的，甲方有权拒收。甲方拒收的，乙方应向甲方支付货款总额</w:t>
      </w:r>
      <w:r>
        <w:rPr>
          <w:rFonts w:ascii="仿宋" w:hAnsi="仿宋" w:eastAsia="仿宋" w:cs="仿宋"/>
          <w:color w:val="auto"/>
          <w:sz w:val="24"/>
          <w:u w:val="single"/>
        </w:rPr>
        <w:t>0.5</w:t>
      </w:r>
      <w:r>
        <w:rPr>
          <w:rFonts w:ascii="仿宋" w:hAnsi="仿宋" w:eastAsia="仿宋" w:cs="仿宋"/>
          <w:color w:val="auto"/>
          <w:sz w:val="24"/>
        </w:rPr>
        <w:t>%的违约金；</w:t>
      </w:r>
    </w:p>
    <w:p w14:paraId="470CD1A5">
      <w:pPr>
        <w:spacing w:line="360" w:lineRule="auto"/>
        <w:ind w:left="17" w:right="84" w:firstLine="409"/>
        <w:rPr>
          <w:rFonts w:ascii="仿宋" w:hAnsi="仿宋" w:eastAsia="仿宋" w:cs="仿宋"/>
          <w:color w:val="auto"/>
          <w:sz w:val="24"/>
        </w:rPr>
      </w:pPr>
      <w:r>
        <w:rPr>
          <w:rFonts w:ascii="仿宋" w:hAnsi="仿宋" w:eastAsia="仿宋" w:cs="仿宋"/>
          <w:color w:val="auto"/>
          <w:sz w:val="24"/>
        </w:rPr>
        <w:t>(4)乙方货物经甲方送交具有法定资格条件的质量技术监督机构检测后，如检测结果认定货 物质量不符合本合同规定标准的，则视为乙方没有按时</w:t>
      </w:r>
      <w:r>
        <w:rPr>
          <w:rFonts w:hint="eastAsia" w:ascii="仿宋" w:hAnsi="仿宋" w:eastAsia="仿宋" w:cs="仿宋"/>
          <w:color w:val="auto"/>
          <w:sz w:val="24"/>
        </w:rPr>
        <w:t>供货</w:t>
      </w:r>
      <w:r>
        <w:rPr>
          <w:rFonts w:ascii="仿宋" w:hAnsi="仿宋" w:eastAsia="仿宋" w:cs="仿宋"/>
          <w:color w:val="auto"/>
          <w:sz w:val="24"/>
        </w:rPr>
        <w:t>而违约，乙方须在</w:t>
      </w:r>
      <w:r>
        <w:rPr>
          <w:rFonts w:ascii="仿宋" w:hAnsi="仿宋" w:eastAsia="仿宋" w:cs="仿宋"/>
          <w:color w:val="auto"/>
          <w:sz w:val="24"/>
          <w:u w:val="single"/>
        </w:rPr>
        <w:t>10</w:t>
      </w:r>
      <w:r>
        <w:rPr>
          <w:rFonts w:ascii="仿宋" w:hAnsi="仿宋" w:eastAsia="仿宋" w:cs="仿宋"/>
          <w:color w:val="auto"/>
          <w:sz w:val="24"/>
        </w:rPr>
        <w:t xml:space="preserve">天内无条件更 换合格的货物，如逾期不能更换合格的货物，甲方有权终止本合同，乙方应另向甲方支付货款总额的 </w:t>
      </w:r>
      <w:r>
        <w:rPr>
          <w:rFonts w:ascii="仿宋" w:hAnsi="仿宋" w:eastAsia="仿宋" w:cs="仿宋"/>
          <w:color w:val="auto"/>
          <w:sz w:val="24"/>
          <w:u w:val="single"/>
        </w:rPr>
        <w:t>0.5</w:t>
      </w:r>
      <w:r>
        <w:rPr>
          <w:rFonts w:ascii="仿宋" w:hAnsi="仿宋" w:eastAsia="仿宋" w:cs="仿宋"/>
          <w:color w:val="auto"/>
          <w:sz w:val="24"/>
        </w:rPr>
        <w:t>%的违约金；</w:t>
      </w:r>
    </w:p>
    <w:p w14:paraId="52F2CF6A">
      <w:pPr>
        <w:spacing w:line="360" w:lineRule="auto"/>
        <w:ind w:left="5" w:right="37" w:firstLine="423"/>
        <w:rPr>
          <w:rFonts w:ascii="仿宋" w:hAnsi="仿宋" w:eastAsia="仿宋" w:cs="仿宋"/>
          <w:color w:val="auto"/>
          <w:sz w:val="24"/>
        </w:rPr>
      </w:pPr>
      <w:r>
        <w:rPr>
          <w:rFonts w:ascii="仿宋" w:hAnsi="仿宋" w:eastAsia="仿宋" w:cs="仿宋"/>
          <w:color w:val="auto"/>
          <w:sz w:val="24"/>
        </w:rPr>
        <w:t>(5) 在乙方承诺的或国家规定的质量保证期内(取两者中最长的期限)，如经乙方两次维修 或更换，货物仍不能达到合同约定的质量标准，甲方有权退货，乙方应退回全部货款，并按第 3 款 处理， 同时，乙方还须赔偿甲方因此遭受的损失；</w:t>
      </w:r>
    </w:p>
    <w:p w14:paraId="7732259F">
      <w:pPr>
        <w:spacing w:line="360" w:lineRule="auto"/>
        <w:ind w:left="31" w:right="38" w:firstLine="397"/>
        <w:rPr>
          <w:rFonts w:ascii="仿宋" w:hAnsi="仿宋" w:eastAsia="仿宋" w:cs="仿宋"/>
          <w:color w:val="auto"/>
          <w:sz w:val="24"/>
        </w:rPr>
      </w:pPr>
      <w:r>
        <w:rPr>
          <w:rFonts w:ascii="仿宋" w:hAnsi="仿宋" w:eastAsia="仿宋" w:cs="仿宋"/>
          <w:color w:val="auto"/>
          <w:sz w:val="24"/>
        </w:rPr>
        <w:t>(6) 乙方未按本合同第十条的规定向甲方交付履约保证金的，应按应交付履约保证金的</w:t>
      </w:r>
      <w:r>
        <w:rPr>
          <w:rFonts w:ascii="仿宋" w:hAnsi="仿宋" w:eastAsia="仿宋" w:cs="仿宋"/>
          <w:color w:val="auto"/>
          <w:sz w:val="24"/>
          <w:u w:val="single"/>
        </w:rPr>
        <w:t xml:space="preserve"> 0.3 </w:t>
      </w:r>
      <w:r>
        <w:rPr>
          <w:rFonts w:ascii="仿宋" w:hAnsi="仿宋" w:eastAsia="仿宋" w:cs="仿宋"/>
          <w:color w:val="auto"/>
          <w:sz w:val="24"/>
        </w:rPr>
        <w:t>% 向甲方支付违约金，该违约金的支付不影响乙方应承担的其他违约责任；</w:t>
      </w:r>
    </w:p>
    <w:p w14:paraId="63819AC2">
      <w:pPr>
        <w:spacing w:line="360" w:lineRule="auto"/>
        <w:ind w:right="39" w:firstLine="429"/>
        <w:rPr>
          <w:rFonts w:ascii="仿宋" w:hAnsi="仿宋" w:eastAsia="仿宋" w:cs="仿宋"/>
          <w:color w:val="auto"/>
          <w:sz w:val="24"/>
        </w:rPr>
      </w:pPr>
      <w:r>
        <w:rPr>
          <w:rFonts w:ascii="仿宋" w:hAnsi="仿宋" w:eastAsia="仿宋" w:cs="仿宋"/>
          <w:color w:val="auto"/>
          <w:sz w:val="24"/>
        </w:rPr>
        <w:t xml:space="preserve">(7)乙方未按本合同的规定和“服务承诺”提供伴随服务/售后服务的，应按合同总价款的 </w:t>
      </w:r>
      <w:r>
        <w:rPr>
          <w:rFonts w:ascii="仿宋" w:hAnsi="仿宋" w:eastAsia="仿宋" w:cs="仿宋"/>
          <w:color w:val="auto"/>
          <w:sz w:val="24"/>
          <w:u w:val="single"/>
        </w:rPr>
        <w:t xml:space="preserve">0.3 </w:t>
      </w:r>
      <w:r>
        <w:rPr>
          <w:rFonts w:ascii="仿宋" w:hAnsi="仿宋" w:eastAsia="仿宋" w:cs="仿宋"/>
          <w:color w:val="auto"/>
          <w:sz w:val="24"/>
        </w:rPr>
        <w:t>%向甲方承担违约责任；</w:t>
      </w:r>
    </w:p>
    <w:p w14:paraId="4921F62C">
      <w:pPr>
        <w:spacing w:line="360" w:lineRule="auto"/>
        <w:ind w:left="5" w:right="37" w:firstLine="423"/>
        <w:rPr>
          <w:rFonts w:ascii="仿宋" w:hAnsi="仿宋" w:eastAsia="仿宋" w:cs="仿宋"/>
          <w:color w:val="auto"/>
          <w:sz w:val="24"/>
        </w:rPr>
      </w:pPr>
      <w:r>
        <w:rPr>
          <w:rFonts w:ascii="仿宋" w:hAnsi="仿宋" w:eastAsia="仿宋" w:cs="仿宋"/>
          <w:color w:val="auto"/>
          <w:sz w:val="24"/>
        </w:rPr>
        <w:t>(8)乙方在承担上述 1-7款一项或多项违约责任后，仍应继续履行合同规定的义务 (甲方解除合同的除外)。甲方未能及时追究乙方的任何一项违约责任并不表明甲方放弃追究乙方该项或其 他违约责任；</w:t>
      </w:r>
    </w:p>
    <w:p w14:paraId="5A1DAD09">
      <w:pPr>
        <w:spacing w:line="360" w:lineRule="auto"/>
        <w:ind w:left="4" w:right="40" w:firstLine="424"/>
        <w:rPr>
          <w:color w:val="auto"/>
          <w:sz w:val="24"/>
        </w:rPr>
      </w:pPr>
      <w:r>
        <w:rPr>
          <w:rFonts w:ascii="仿宋" w:hAnsi="仿宋" w:eastAsia="仿宋" w:cs="仿宋"/>
          <w:color w:val="auto"/>
          <w:sz w:val="24"/>
        </w:rPr>
        <w:t>(9)乙方偿付的违约金不足以弥补甲方损失的，还应按甲方损失尚未弥补的部分，支付赔偿 金给甲方。</w:t>
      </w:r>
    </w:p>
    <w:p w14:paraId="394C7396">
      <w:pPr>
        <w:spacing w:line="360" w:lineRule="auto"/>
        <w:rPr>
          <w:rFonts w:ascii="仿宋" w:hAnsi="仿宋" w:eastAsia="仿宋" w:cs="仿宋"/>
          <w:b/>
          <w:color w:val="auto"/>
          <w:sz w:val="24"/>
        </w:rPr>
      </w:pPr>
      <w:r>
        <w:rPr>
          <w:rFonts w:hint="eastAsia" w:ascii="仿宋" w:hAnsi="仿宋" w:eastAsia="仿宋" w:cs="仿宋"/>
          <w:b/>
          <w:color w:val="auto"/>
          <w:sz w:val="24"/>
        </w:rPr>
        <w:t>十一、 合同的变更和终止</w:t>
      </w:r>
    </w:p>
    <w:p w14:paraId="2F968980">
      <w:pPr>
        <w:spacing w:line="360" w:lineRule="auto"/>
        <w:ind w:firstLine="480" w:firstLineChars="200"/>
        <w:rPr>
          <w:rFonts w:ascii="仿宋" w:hAnsi="仿宋" w:eastAsia="仿宋" w:cs="仿宋"/>
          <w:bCs/>
          <w:color w:val="auto"/>
          <w:sz w:val="24"/>
        </w:rPr>
      </w:pPr>
      <w:r>
        <w:rPr>
          <w:rFonts w:hint="eastAsia" w:ascii="仿宋" w:hAnsi="仿宋" w:eastAsia="仿宋" w:cs="仿宋"/>
          <w:bCs/>
          <w:color w:val="auto"/>
          <w:sz w:val="24"/>
        </w:rPr>
        <w:t>除《中华人民共和国政府采购法》第 49 条、第 50 条第二款规定的情形外，本合同一经签订， 甲乙双方不得擅自变更、 中止或终止合同。</w:t>
      </w:r>
    </w:p>
    <w:p w14:paraId="22BCEAA3">
      <w:pPr>
        <w:spacing w:line="360" w:lineRule="auto"/>
        <w:rPr>
          <w:rFonts w:ascii="仿宋" w:hAnsi="仿宋" w:eastAsia="仿宋" w:cs="仿宋"/>
          <w:b/>
          <w:color w:val="auto"/>
          <w:sz w:val="24"/>
        </w:rPr>
      </w:pPr>
      <w:r>
        <w:rPr>
          <w:rFonts w:hint="eastAsia" w:ascii="仿宋" w:hAnsi="仿宋" w:eastAsia="仿宋" w:cs="仿宋"/>
          <w:b/>
          <w:color w:val="auto"/>
          <w:sz w:val="24"/>
        </w:rPr>
        <w:t>十二、争议解决方法</w:t>
      </w:r>
    </w:p>
    <w:p w14:paraId="15E978E1">
      <w:pPr>
        <w:tabs>
          <w:tab w:val="left" w:pos="840"/>
        </w:tabs>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1.因货物的质量问题发生争议， 由质量技术监督部门或其指定的质量鉴定机构进行质量鉴定。 货物符合标准的，鉴定费由甲方承担；货物不符合质量标准的，鉴定费由乙方承担。</w:t>
      </w:r>
    </w:p>
    <w:p w14:paraId="23798357">
      <w:pPr>
        <w:tabs>
          <w:tab w:val="left" w:pos="840"/>
        </w:tabs>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2.因履行本合同引起的或与本合同有关的争议，甲、乙双方应首先通过友好协商解决，如果协商不成，则采取以下第 (1) 种方式解决争议：</w:t>
      </w:r>
    </w:p>
    <w:p w14:paraId="08CA6D81">
      <w:pPr>
        <w:tabs>
          <w:tab w:val="left" w:pos="840"/>
        </w:tabs>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(1) 向甲方所在地有管辖权的人民法院提起诉讼；</w:t>
      </w:r>
    </w:p>
    <w:p w14:paraId="70655A94">
      <w:pPr>
        <w:tabs>
          <w:tab w:val="left" w:pos="840"/>
        </w:tabs>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(2) 向</w:t>
      </w:r>
      <w:r>
        <w:rPr>
          <w:rFonts w:hint="eastAsia" w:ascii="仿宋" w:hAnsi="仿宋" w:eastAsia="仿宋" w:cs="仿宋"/>
          <w:color w:val="auto"/>
          <w:sz w:val="24"/>
          <w:u w:val="single"/>
        </w:rPr>
        <w:t>____________</w:t>
      </w:r>
      <w:r>
        <w:rPr>
          <w:rFonts w:hint="eastAsia" w:ascii="仿宋" w:hAnsi="仿宋" w:eastAsia="仿宋" w:cs="仿宋"/>
          <w:color w:val="auto"/>
          <w:sz w:val="24"/>
        </w:rPr>
        <w:t>仲裁委员会按其仲裁规则申请仲裁。</w:t>
      </w:r>
    </w:p>
    <w:p w14:paraId="4F5F1876">
      <w:pPr>
        <w:tabs>
          <w:tab w:val="left" w:pos="840"/>
        </w:tabs>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 xml:space="preserve"> 3.在仲裁期间，本合同应继续履行。</w:t>
      </w:r>
    </w:p>
    <w:p w14:paraId="3D077BAF">
      <w:pPr>
        <w:spacing w:line="360" w:lineRule="auto"/>
        <w:rPr>
          <w:rFonts w:ascii="仿宋" w:hAnsi="仿宋" w:eastAsia="仿宋" w:cs="仿宋"/>
          <w:color w:val="auto"/>
          <w:sz w:val="24"/>
        </w:rPr>
      </w:pPr>
      <w:r>
        <w:rPr>
          <w:rFonts w:hint="eastAsia" w:ascii="仿宋" w:hAnsi="仿宋" w:eastAsia="仿宋" w:cs="仿宋"/>
          <w:b/>
          <w:color w:val="auto"/>
          <w:sz w:val="24"/>
        </w:rPr>
        <w:t>十三、其他</w:t>
      </w:r>
    </w:p>
    <w:p w14:paraId="574F50DF">
      <w:pPr>
        <w:pStyle w:val="6"/>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1、</w:t>
      </w:r>
      <w:r>
        <w:rPr>
          <w:rFonts w:ascii="仿宋" w:hAnsi="仿宋" w:eastAsia="仿宋" w:cs="仿宋"/>
          <w:color w:val="auto"/>
          <w:sz w:val="24"/>
        </w:rPr>
        <w:t>中标单位不得转包、分包，一经发现将中标单位列入不诚信名单。</w:t>
      </w:r>
    </w:p>
    <w:p w14:paraId="1DA8DBC4">
      <w:pPr>
        <w:spacing w:line="360" w:lineRule="auto"/>
        <w:ind w:firstLine="480" w:firstLineChars="200"/>
        <w:rPr>
          <w:rFonts w:eastAsia="仿宋"/>
          <w:color w:val="auto"/>
        </w:rPr>
      </w:pPr>
      <w:r>
        <w:rPr>
          <w:rFonts w:hint="eastAsia" w:ascii="仿宋" w:hAnsi="仿宋" w:eastAsia="仿宋" w:cs="仿宋"/>
          <w:color w:val="auto"/>
          <w:sz w:val="24"/>
        </w:rPr>
        <w:t>2、如有未尽事宜，由双方依法订立补充合同。</w:t>
      </w:r>
    </w:p>
    <w:p w14:paraId="34C1196C">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3、本合同一式伍份，自双方签章之日起生效。甲方贰份，乙方贰份，政府采购监督管理部门备案一份。（正文完）</w:t>
      </w:r>
    </w:p>
    <w:p w14:paraId="646A8C59">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甲    方：（盖章）                     乙    方：（盖章）</w:t>
      </w:r>
    </w:p>
    <w:p w14:paraId="5CE5AEC2">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法定代表人（授权代表）：               法定代表人（授权代表）：</w:t>
      </w:r>
    </w:p>
    <w:p w14:paraId="60E00813">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 xml:space="preserve">地    址：                             地    址： </w:t>
      </w:r>
    </w:p>
    <w:p w14:paraId="2847161E">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 xml:space="preserve">开户银行：                             开户银行： </w:t>
      </w:r>
    </w:p>
    <w:p w14:paraId="30C6C631">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账    号：                             账    号：</w:t>
      </w:r>
    </w:p>
    <w:p w14:paraId="0DCCB289">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电    话：                             电    话：</w:t>
      </w:r>
    </w:p>
    <w:p w14:paraId="19937C39">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传    真：                             传    真：</w:t>
      </w:r>
    </w:p>
    <w:p w14:paraId="1307DDB0">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签约日期：     年    月    日          签约日期：    年    月   日</w:t>
      </w:r>
    </w:p>
    <w:p w14:paraId="2D98CD1F">
      <w:r>
        <w:rPr>
          <w:rFonts w:ascii="仿宋" w:hAnsi="仿宋" w:eastAsia="仿宋" w:cs="仿宋"/>
          <w:color w:val="auto"/>
          <w:sz w:val="24"/>
        </w:rPr>
        <w:t>注：本合同模板仅为合同的参考文本，合同签订双方可根据项目的具体要求进行修改。</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9DD1988"/>
    <w:multiLevelType w:val="singleLevel"/>
    <w:tmpl w:val="79DD198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F112C7"/>
    <w:rsid w:val="67F112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Indent 2"/>
    <w:basedOn w:val="1"/>
    <w:qFormat/>
    <w:uiPriority w:val="99"/>
    <w:pPr>
      <w:spacing w:line="480" w:lineRule="exact"/>
      <w:ind w:left="-1"/>
    </w:pPr>
    <w:rPr>
      <w:sz w:val="24"/>
    </w:rPr>
  </w:style>
  <w:style w:type="paragraph" w:styleId="3">
    <w:name w:val="annotation text"/>
    <w:basedOn w:val="1"/>
    <w:qFormat/>
    <w:uiPriority w:val="0"/>
    <w:pPr>
      <w:jc w:val="left"/>
    </w:pPr>
  </w:style>
  <w:style w:type="paragraph" w:styleId="4">
    <w:name w:val="Body Text"/>
    <w:basedOn w:val="1"/>
    <w:next w:val="1"/>
    <w:qFormat/>
    <w:uiPriority w:val="0"/>
    <w:pPr>
      <w:spacing w:after="120"/>
    </w:pPr>
  </w:style>
  <w:style w:type="paragraph" w:styleId="5">
    <w:name w:val="Body Text Indent"/>
    <w:basedOn w:val="1"/>
    <w:next w:val="1"/>
    <w:qFormat/>
    <w:uiPriority w:val="0"/>
    <w:pPr>
      <w:adjustRightInd w:val="0"/>
      <w:spacing w:line="360" w:lineRule="auto"/>
      <w:ind w:left="600"/>
      <w:textAlignment w:val="baseline"/>
    </w:pPr>
    <w:rPr>
      <w:rFonts w:ascii="宋体"/>
      <w:kern w:val="0"/>
      <w:sz w:val="24"/>
    </w:rPr>
  </w:style>
  <w:style w:type="paragraph" w:styleId="6">
    <w:name w:val="Body Text First Indent"/>
    <w:basedOn w:val="4"/>
    <w:next w:val="7"/>
    <w:qFormat/>
    <w:uiPriority w:val="0"/>
    <w:pPr>
      <w:ind w:firstLine="420" w:firstLineChars="100"/>
    </w:pPr>
  </w:style>
  <w:style w:type="paragraph" w:styleId="7">
    <w:name w:val="Body Text First Indent 2"/>
    <w:basedOn w:val="5"/>
    <w:next w:val="1"/>
    <w:qFormat/>
    <w:uiPriority w:val="99"/>
    <w:pPr>
      <w:spacing w:after="120"/>
      <w:ind w:left="420" w:leftChars="200" w:firstLine="420" w:firstLineChars="200"/>
    </w:pPr>
    <w:rPr>
      <w:rFonts w:ascii="Times New Roman" w:hAnsi="Times New Roman"/>
      <w:sz w:val="21"/>
    </w:rPr>
  </w:style>
  <w:style w:type="paragraph" w:customStyle="1" w:styleId="10">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2025-05-12T11:52:00Z</dcterms:created>
  <dc:creator>doit</dc:creator>
  <cp:lastModifiedBy>doit</cp:lastModifiedBy>
  <dcterms:modified xsi:type="dcterms:W3CDTF">2025-05-12T11:52:16Z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F2BF53167305496EAFCAC351BFC0A1DD_11</vt:lpwstr>
  </property>
  <property fmtid="{D5CDD505-2E9C-101B-9397-08002B2CF9AE}" pid="4" name="KSOTemplateDocerSaveRecord">
    <vt:lpwstr>eyJoZGlkIjoiNjU3ZGIwMTYyN2VhMzEyODI5YTFjODYzYmY0ZTZjNzciLCJ1c2VySWQiOiI1NDQyNTk1OTUifQ==</vt:lpwstr>
  </property>
</Properties>
</file>