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版本号：XYR-ZC-(2025)03620250521002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西安市渭滨水源地部分水源井及管道更新工程占用陕西渭河省级重要湿地选址选线意见书及植被恢复方案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XYR-ZC-(2025)036</w:t>
      </w:r>
      <w:r>
        <w:br/>
      </w:r>
      <w:r>
        <w:br/>
      </w:r>
      <w:r>
        <w:br/>
      </w:r>
    </w:p>
    <w:p>
      <w:pPr>
        <w:pStyle w:val="null3"/>
        <w:jc w:val="center"/>
        <w:outlineLvl w:val="2"/>
      </w:pPr>
      <w:r>
        <w:rPr>
          <w:rFonts w:ascii="仿宋_GB2312" w:hAnsi="仿宋_GB2312" w:cs="仿宋_GB2312" w:eastAsia="仿宋_GB2312"/>
          <w:sz w:val="28"/>
          <w:b/>
        </w:rPr>
        <w:t>西安经济技术开发区住房和城乡建设局</w:t>
      </w:r>
    </w:p>
    <w:p>
      <w:pPr>
        <w:pStyle w:val="null3"/>
        <w:jc w:val="center"/>
        <w:outlineLvl w:val="2"/>
      </w:pPr>
      <w:r>
        <w:rPr>
          <w:rFonts w:ascii="仿宋_GB2312" w:hAnsi="仿宋_GB2312" w:cs="仿宋_GB2312" w:eastAsia="仿宋_GB2312"/>
          <w:sz w:val="28"/>
          <w:b/>
        </w:rPr>
        <w:t>鑫益瑞建设工程有限公司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鑫益瑞建设工程有限公司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西安经济技术开发区住房和城乡建设局</w:t>
      </w:r>
      <w:r>
        <w:rPr>
          <w:rFonts w:ascii="仿宋_GB2312" w:hAnsi="仿宋_GB2312" w:cs="仿宋_GB2312" w:eastAsia="仿宋_GB2312"/>
        </w:rPr>
        <w:t>委托，拟对</w:t>
      </w:r>
      <w:r>
        <w:rPr>
          <w:rFonts w:ascii="仿宋_GB2312" w:hAnsi="仿宋_GB2312" w:cs="仿宋_GB2312" w:eastAsia="仿宋_GB2312"/>
        </w:rPr>
        <w:t>西安市渭滨水源地部分水源井及管道更新工程占用陕西渭河省级重要湿地选址选线意见书及植被恢复方案</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XYR-ZC-(2025)036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西安市渭滨水源地部分水源井及管道更新工程占用陕西渭河省级重要湿地选址选线意见书及植被恢复方案</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渭滨水源地部分水源井及管道更新工程，位于西安市渭滨水源地，西至福银高速，东至延西高速，北至渭河南岸，南至尚林路。工程规模为4.32万m3/d，主要内容包括水源井工程、井间联络管、线缆工程、检修道路及加氯间及变配电室等五部分，各部分内容分述如下： 1）水源井工程包括取水井19眼、监测井4眼、混采井改造3眼、全地下水源井泵房19座、保护区标识牌12个。 2）新建DN400~DN1200的井间联络管共计21629m，其中DN400 拖管4700m，DN600拖管6100m，DN800顶管6720m，DN1000顶管2580m，DN1200顶管500m，D1200顶管内穿DN600钢管549mm，D1400顶管内穿DN800钢管480m。 3）新建YJV-8.7/15kV-3x120mm2电力电缆32165m，加强12芯光 缆25574m，线缆均穿套管敷设，并配套电力检查井和手孔井295座，新建10kv开关柜2套，改造10kV箱变2套，新建10kV箱变11套。本工程线缆均与井间联络管同沟敷设。 4）新建检修道路3480m，设计宽度6m，采用混凝土路面，道路建设过程中需迁移部分现状绿化。 5）配套加氯间及变配电室1座，用地面积1320m2，用房内设加氯间及变配电室，包含加氯消毒设备一套。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采购包1（西安市渭滨水源地部分水源井及管道更新工程占用陕西渭河省级重要湿地选址选线意见书及植被恢复方案）：属于专门面向中小企业采购。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参加投标的，须提供本人身份证加盖公章的复印件；法定代表人授权他人参加投标的，须提供法定代表人授权委托书及被授权代表的身份证复印件及授权代表在本单位2024年8月至今已缴纳的至少任意三个月的养老保险缴纳证明；</w:t>
      </w:r>
    </w:p>
    <w:p>
      <w:pPr>
        <w:pStyle w:val="null3"/>
      </w:pPr>
      <w:r>
        <w:rPr>
          <w:rFonts w:ascii="仿宋_GB2312" w:hAnsi="仿宋_GB2312" w:cs="仿宋_GB2312" w:eastAsia="仿宋_GB2312"/>
        </w:rPr>
        <w:t>2、响应主体：响应供应商需提供有效合格的具有统一社会信用代码的营业执照，其他组织经营的须提供合法凭证，自然人提供身份证明文件；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3、财务状况报告：提供2023年度或2024年度经审计的财务会计报告（至少包括资产负债表和利润表）或投标截止时间前半年内基本存款账户开户银行出具的资信证明文件及基本存款账户开户许可证（无基本存款账户开户许可证可提供其基本存款账户信息证明）；成立时间至提交响应文件截止时间不足一年的可提供成立后任意时段的资产负债表或信用担保机构出具的投标担保函；</w:t>
      </w:r>
    </w:p>
    <w:p>
      <w:pPr>
        <w:pStyle w:val="null3"/>
      </w:pPr>
      <w:r>
        <w:rPr>
          <w:rFonts w:ascii="仿宋_GB2312" w:hAnsi="仿宋_GB2312" w:cs="仿宋_GB2312" w:eastAsia="仿宋_GB2312"/>
        </w:rPr>
        <w:t>4、社会保障资金缴纳证明：提供供应商2024年8月1日以来任意三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5、税收缴纳证明：提供供应商2024年8月1日以来任意三个月已缴纳的纳税证明或完税证明，依法免税的供应商应提供加盖公章的相关证明文件；</w:t>
      </w:r>
    </w:p>
    <w:p>
      <w:pPr>
        <w:pStyle w:val="null3"/>
      </w:pPr>
      <w:r>
        <w:rPr>
          <w:rFonts w:ascii="仿宋_GB2312" w:hAnsi="仿宋_GB2312" w:cs="仿宋_GB2312" w:eastAsia="仿宋_GB2312"/>
        </w:rPr>
        <w:t>6、履行合同能力的证明材料：具备履行合同所必需的设备和专业技术能力的证明材料(由供应商根据项目需求提供说明材料或者承诺)；</w:t>
      </w:r>
    </w:p>
    <w:p>
      <w:pPr>
        <w:pStyle w:val="null3"/>
      </w:pPr>
      <w:r>
        <w:rPr>
          <w:rFonts w:ascii="仿宋_GB2312" w:hAnsi="仿宋_GB2312" w:cs="仿宋_GB2312" w:eastAsia="仿宋_GB2312"/>
        </w:rPr>
        <w:t>7、书面信用声明：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8、控股、管理关系：单位负责人为同一人或者存在直接控股、管理关系的不同供应商，不得参加本次采购活动；</w:t>
      </w:r>
    </w:p>
    <w:p>
      <w:pPr>
        <w:pStyle w:val="null3"/>
      </w:pPr>
      <w:r>
        <w:rPr>
          <w:rFonts w:ascii="仿宋_GB2312" w:hAnsi="仿宋_GB2312" w:cs="仿宋_GB2312" w:eastAsia="仿宋_GB2312"/>
        </w:rPr>
        <w:t>9、供应商资质：供应商需具备具备有效的林业调查规划设计丙级及以上资质；</w:t>
      </w:r>
    </w:p>
    <w:p>
      <w:pPr>
        <w:pStyle w:val="null3"/>
      </w:pPr>
      <w:r>
        <w:rPr>
          <w:rFonts w:ascii="仿宋_GB2312" w:hAnsi="仿宋_GB2312" w:cs="仿宋_GB2312" w:eastAsia="仿宋_GB2312"/>
        </w:rPr>
        <w:t>10、中小企业声明函：本项目专门面向中小企业采购（提供中小企业声明函）。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西安市凤城十二路与明光路十字凯瑞大厦F座601室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刘正刚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029-86186211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鑫益瑞建设工程有限公司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陕西省西安市未央区太华北路甲字88号锦园国际广场21层2104N6号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19145335117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康老师、金老师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029-86522654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西安经济技术开发区住房和城乡建设局</w:t>
      </w:r>
      <w:r>
        <w:rPr>
          <w:rFonts w:ascii="仿宋_GB2312" w:hAnsi="仿宋_GB2312" w:cs="仿宋_GB2312" w:eastAsia="仿宋_GB2312"/>
        </w:rPr>
        <w:t>和</w:t>
      </w:r>
      <w:r>
        <w:rPr>
          <w:rFonts w:ascii="仿宋_GB2312" w:hAnsi="仿宋_GB2312" w:cs="仿宋_GB2312" w:eastAsia="仿宋_GB2312"/>
        </w:rPr>
        <w:t>鑫益瑞建设工程有限公司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鑫益瑞建设工程有限公司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鑫益瑞建设工程有限公司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成果质量符合采购人及湿地主管部门的相关要求，并通过专家论证或评审。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鑫益瑞建设工程有限公司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鑫益瑞建设工程有限公司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鑫益瑞建设工程有限公司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联系人：杨倩</w:t>
      </w:r>
    </w:p>
    <w:p>
      <w:pPr>
        <w:pStyle w:val="null3"/>
      </w:pPr>
      <w:r>
        <w:rPr>
          <w:rFonts w:ascii="仿宋_GB2312" w:hAnsi="仿宋_GB2312" w:cs="仿宋_GB2312" w:eastAsia="仿宋_GB2312"/>
        </w:rPr>
        <w:t>联系电话：19145335117</w:t>
      </w:r>
    </w:p>
    <w:p>
      <w:pPr>
        <w:pStyle w:val="null3"/>
      </w:pPr>
      <w:r>
        <w:rPr>
          <w:rFonts w:ascii="仿宋_GB2312" w:hAnsi="仿宋_GB2312" w:cs="仿宋_GB2312" w:eastAsia="仿宋_GB2312"/>
        </w:rPr>
        <w:t>地址：陕西省西安市未央区太华北路甲字88号锦园国际广场21层2104N6号</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渭滨水源地部分水源井及管道更新工程，位于西安市渭滨水源地，西至福银高速，东至延西高速，北至渭河南岸，南至尚林路。工程规模为4.32万m3/d，主要内容包括水源井工程、井间联络管、线缆工程、检修道路及加氯间及变配电室等五部分，各部分内容分述如下： 1）水源井工程包括取水井19眼、监测井4眼、混采井改造3眼、全地下水源井泵房19座、保护区标识牌12个。 2）新建DN400~DN1200的井间联络管共计21629m，其中DN400 拖管4700m，DN600拖管6100m，DN800顶管6720m，DN1000顶管2580m，DN1200顶管500m，D1200顶管内穿DN600钢管549mm，D1400顶管内穿DN800钢管480m。 3）新建YJV-8.7/15kV-3x120mm2电力电缆32165m，加强12芯光 缆25574m，线缆均穿套管敷设，并配套电力检查井和手孔井295座，新建10kv开关柜2套，改造10kV箱变2套，新建10kV箱变11套。本工程线缆均与井间联络管同沟敷设。 4）新建检修道路3480m，设计宽度6m，采用混凝土路面，道路建设过程中需迁移部分现状绿化。 5）配套加氯间及变配电室1座，用地面积1320m2，用房内设加氯间及变配电室，包含加氯消毒设备一套。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西安市渭滨水源地部分水源井及管道更新工程占用陕西渭河省级重要湿地选址选线意见书及植被恢复方案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标的名称：西安市渭滨水源地部分水源井及管道更新工程占用陕西渭河省级重要湿地选址选线意见书及植被恢复方案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rPr>
              <w:t xml:space="preserve">  </w:t>
            </w:r>
            <w:r>
              <w:rPr>
                <w:rFonts w:ascii="仿宋_GB2312" w:hAnsi="仿宋_GB2312" w:cs="仿宋_GB2312" w:eastAsia="仿宋_GB2312"/>
                <w:sz w:val="24"/>
                <w:color w:val="333333"/>
                <w:shd w:fill="FFFFFF" w:val="clear"/>
              </w:rPr>
              <w:t>1.采购项目名称：</w:t>
            </w:r>
            <w:r>
              <w:rPr>
                <w:rFonts w:ascii="仿宋_GB2312" w:hAnsi="仿宋_GB2312" w:cs="仿宋_GB2312" w:eastAsia="仿宋_GB2312"/>
                <w:sz w:val="24"/>
                <w:color w:val="333333"/>
                <w:shd w:fill="FFFFFF" w:val="clear"/>
              </w:rPr>
              <w:t>西安市滨水源地部分水源井及管道更新工程占用陕西渭河省级重要湿地选址选线意见书及植被恢复方案</w:t>
            </w:r>
            <w:r>
              <w:rPr>
                <w:rFonts w:ascii="仿宋_GB2312" w:hAnsi="仿宋_GB2312" w:cs="仿宋_GB2312" w:eastAsia="仿宋_GB2312"/>
                <w:sz w:val="24"/>
                <w:color w:val="333333"/>
                <w:shd w:fill="FFFFFF" w:val="clear"/>
              </w:rPr>
              <w:t>。</w:t>
            </w:r>
          </w:p>
          <w:p>
            <w:pPr>
              <w:pStyle w:val="null3"/>
              <w:ind w:firstLine="480"/>
              <w:jc w:val="both"/>
            </w:pPr>
            <w:r>
              <w:rPr>
                <w:rFonts w:ascii="仿宋_GB2312" w:hAnsi="仿宋_GB2312" w:cs="仿宋_GB2312" w:eastAsia="仿宋_GB2312"/>
                <w:sz w:val="24"/>
                <w:color w:val="333333"/>
                <w:shd w:fill="FFFFFF" w:val="clear"/>
              </w:rPr>
              <w:t>2.项目概况：西安市渭滨水源地部分水源井及管道更新工程，位于西安市渭滨水源地，西至福银高速，东至延西高速，北至渭河南岸，南至尚林路。工程规模为4.32万m3/d，主要内容包括水源井工程、井间联络管、线缆工程、检修道路及加氯间及变配电室等五部分，各部分内容分述如下：</w:t>
            </w:r>
          </w:p>
          <w:p>
            <w:pPr>
              <w:pStyle w:val="null3"/>
              <w:ind w:firstLine="480"/>
              <w:jc w:val="both"/>
            </w:pPr>
            <w:r>
              <w:rPr>
                <w:rFonts w:ascii="仿宋_GB2312" w:hAnsi="仿宋_GB2312" w:cs="仿宋_GB2312" w:eastAsia="仿宋_GB2312"/>
                <w:sz w:val="24"/>
                <w:color w:val="333333"/>
                <w:shd w:fill="FFFFFF" w:val="clear"/>
              </w:rPr>
              <w:t>1）水源井工程包括取水井19眼、监测井4眼、混采井改造3眼、全地下水源井泵房19座、保护区标识牌12个。</w:t>
            </w:r>
          </w:p>
          <w:p>
            <w:pPr>
              <w:pStyle w:val="null3"/>
              <w:ind w:firstLine="480"/>
              <w:jc w:val="both"/>
            </w:pPr>
            <w:r>
              <w:rPr>
                <w:rFonts w:ascii="仿宋_GB2312" w:hAnsi="仿宋_GB2312" w:cs="仿宋_GB2312" w:eastAsia="仿宋_GB2312"/>
                <w:sz w:val="24"/>
                <w:color w:val="333333"/>
                <w:shd w:fill="FFFFFF" w:val="clear"/>
              </w:rPr>
              <w:t>2）新建DN400~DN1200的井间联络管共计21629m，其中DN400</w:t>
            </w:r>
          </w:p>
          <w:p>
            <w:pPr>
              <w:pStyle w:val="null3"/>
              <w:ind w:firstLine="480"/>
              <w:jc w:val="both"/>
            </w:pPr>
            <w:r>
              <w:rPr>
                <w:rFonts w:ascii="仿宋_GB2312" w:hAnsi="仿宋_GB2312" w:cs="仿宋_GB2312" w:eastAsia="仿宋_GB2312"/>
                <w:sz w:val="24"/>
                <w:color w:val="333333"/>
                <w:shd w:fill="FFFFFF" w:val="clear"/>
              </w:rPr>
              <w:t>拖管</w:t>
            </w:r>
            <w:r>
              <w:rPr>
                <w:rFonts w:ascii="仿宋_GB2312" w:hAnsi="仿宋_GB2312" w:cs="仿宋_GB2312" w:eastAsia="仿宋_GB2312"/>
                <w:sz w:val="24"/>
                <w:color w:val="333333"/>
                <w:shd w:fill="FFFFFF" w:val="clear"/>
              </w:rPr>
              <w:t>4700m，DN600拖管6100m，DN800顶管6720m，DN1000顶管2580m，DN1200顶管500m，D1200顶管内穿DN600钢管549mm，D1400顶管内穿DN800钢管480m。</w:t>
            </w:r>
          </w:p>
          <w:p>
            <w:pPr>
              <w:pStyle w:val="null3"/>
              <w:ind w:firstLine="480"/>
              <w:jc w:val="both"/>
            </w:pPr>
            <w:r>
              <w:rPr>
                <w:rFonts w:ascii="仿宋_GB2312" w:hAnsi="仿宋_GB2312" w:cs="仿宋_GB2312" w:eastAsia="仿宋_GB2312"/>
                <w:sz w:val="24"/>
                <w:color w:val="333333"/>
                <w:shd w:fill="FFFFFF" w:val="clear"/>
              </w:rPr>
              <w:t>3）新建YJV-8.7/15kV-3x120mm2电力电缆32165m，加强12芯光</w:t>
            </w:r>
          </w:p>
          <w:p>
            <w:pPr>
              <w:pStyle w:val="null3"/>
              <w:ind w:firstLine="480"/>
              <w:jc w:val="both"/>
            </w:pPr>
            <w:r>
              <w:rPr>
                <w:rFonts w:ascii="仿宋_GB2312" w:hAnsi="仿宋_GB2312" w:cs="仿宋_GB2312" w:eastAsia="仿宋_GB2312"/>
                <w:sz w:val="24"/>
                <w:color w:val="333333"/>
                <w:shd w:fill="FFFFFF" w:val="clear"/>
              </w:rPr>
              <w:t>缆</w:t>
            </w:r>
            <w:r>
              <w:rPr>
                <w:rFonts w:ascii="仿宋_GB2312" w:hAnsi="仿宋_GB2312" w:cs="仿宋_GB2312" w:eastAsia="仿宋_GB2312"/>
                <w:sz w:val="24"/>
                <w:color w:val="333333"/>
                <w:shd w:fill="FFFFFF" w:val="clear"/>
              </w:rPr>
              <w:t>25574m，线缆均穿套管敷设，并配套电力检查井和手孔井295座，新建10kv开关柜2套，改造10kV箱变2套，新建10kV箱变11套。本工程线缆均与井间联络管同沟敷设。</w:t>
            </w:r>
          </w:p>
          <w:p>
            <w:pPr>
              <w:pStyle w:val="null3"/>
              <w:ind w:firstLine="480"/>
              <w:jc w:val="both"/>
            </w:pPr>
            <w:r>
              <w:rPr>
                <w:rFonts w:ascii="仿宋_GB2312" w:hAnsi="仿宋_GB2312" w:cs="仿宋_GB2312" w:eastAsia="仿宋_GB2312"/>
                <w:sz w:val="24"/>
                <w:color w:val="333333"/>
                <w:shd w:fill="FFFFFF" w:val="clear"/>
              </w:rPr>
              <w:t>4）新建检修道路3480m，设计宽度6m，采用混凝土路面，道路建设过程中需迁移部分现状绿化。</w:t>
            </w:r>
          </w:p>
          <w:p>
            <w:pPr>
              <w:pStyle w:val="null3"/>
              <w:jc w:val="both"/>
            </w:pPr>
            <w:r>
              <w:rPr>
                <w:rFonts w:ascii="仿宋_GB2312" w:hAnsi="仿宋_GB2312" w:cs="仿宋_GB2312" w:eastAsia="仿宋_GB2312"/>
                <w:sz w:val="24"/>
                <w:color w:val="333333"/>
                <w:shd w:fill="FFFFFF" w:val="clear"/>
              </w:rPr>
              <w:t>5）配套加氯间及变配电室1座，用地面积1320m2，用房内设加氯间及变配电室，包含加氯消毒设备一套。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pPr>
            <w:r>
              <w:rPr>
                <w:rFonts w:ascii="仿宋_GB2312" w:hAnsi="仿宋_GB2312" w:cs="仿宋_GB2312" w:eastAsia="仿宋_GB2312"/>
                <w:sz w:val="24"/>
              </w:rPr>
              <w:t>二、服务内容</w:t>
            </w:r>
          </w:p>
          <w:p>
            <w:pPr>
              <w:pStyle w:val="null3"/>
              <w:ind w:firstLine="480"/>
              <w:jc w:val="both"/>
            </w:pPr>
            <w:r>
              <w:rPr>
                <w:rFonts w:ascii="仿宋_GB2312" w:hAnsi="仿宋_GB2312" w:cs="仿宋_GB2312" w:eastAsia="仿宋_GB2312"/>
                <w:sz w:val="24"/>
                <w:color w:val="333333"/>
                <w:shd w:fill="FFFFFF" w:val="clear"/>
              </w:rPr>
              <w:t>选址意见书</w:t>
            </w:r>
            <w:r>
              <w:rPr>
                <w:rFonts w:ascii="仿宋_GB2312" w:hAnsi="仿宋_GB2312" w:cs="仿宋_GB2312" w:eastAsia="仿宋_GB2312"/>
                <w:sz w:val="24"/>
                <w:color w:val="333333"/>
                <w:shd w:fill="FFFFFF" w:val="clear"/>
              </w:rPr>
              <w:t>及植被恢复方案</w:t>
            </w:r>
            <w:r>
              <w:rPr>
                <w:rFonts w:ascii="仿宋_GB2312" w:hAnsi="仿宋_GB2312" w:cs="仿宋_GB2312" w:eastAsia="仿宋_GB2312"/>
                <w:sz w:val="24"/>
                <w:color w:val="333333"/>
                <w:shd w:fill="FFFFFF" w:val="clear"/>
              </w:rPr>
              <w:t>编制需要在充分收集项目建设可行性报告、初步设计等文件及批复的基础上现地调查项目区建设范围、湿地类型、项目区和重要湿地区位关系、重点保护野生动植物资源等，按照法律法规和技术规范以及省级重要湿地管理部门要求进行项目占用重要湿地不可避让性分析，评估建设项目对重要湿地土地利用、湿地物种、生物群落、生态系统、生物多样性、生态敏感区、自然然景观资源等因子的影响，提出减轻减缓影响的措施和建议。</w:t>
            </w:r>
          </w:p>
          <w:p>
            <w:pPr>
              <w:pStyle w:val="null3"/>
              <w:jc w:val="both"/>
            </w:pPr>
            <w:r>
              <w:rPr>
                <w:rFonts w:ascii="仿宋_GB2312" w:hAnsi="仿宋_GB2312" w:cs="仿宋_GB2312" w:eastAsia="仿宋_GB2312"/>
                <w:sz w:val="24"/>
                <w:color w:val="333333"/>
                <w:shd w:fill="FFFFFF" w:val="clear"/>
              </w:rPr>
              <w:t>选址意见书</w:t>
            </w:r>
            <w:r>
              <w:rPr>
                <w:rFonts w:ascii="仿宋_GB2312" w:hAnsi="仿宋_GB2312" w:cs="仿宋_GB2312" w:eastAsia="仿宋_GB2312"/>
                <w:sz w:val="24"/>
                <w:color w:val="333333"/>
                <w:shd w:fill="FFFFFF" w:val="clear"/>
              </w:rPr>
              <w:t>及植被恢复方案</w:t>
            </w:r>
            <w:r>
              <w:rPr>
                <w:rFonts w:ascii="仿宋_GB2312" w:hAnsi="仿宋_GB2312" w:cs="仿宋_GB2312" w:eastAsia="仿宋_GB2312"/>
                <w:sz w:val="24"/>
                <w:color w:val="333333"/>
                <w:shd w:fill="FFFFFF" w:val="clear"/>
              </w:rPr>
              <w:t>需满足相关技术规范和省级重要湿地管理部门要求并通过专家评审。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2"/>
            </w:pPr>
            <w:r>
              <w:rPr>
                <w:rFonts w:ascii="仿宋_GB2312" w:hAnsi="仿宋_GB2312" w:cs="仿宋_GB2312" w:eastAsia="仿宋_GB2312"/>
                <w:sz w:val="24"/>
                <w:shd w:fill="FFFFFF" w:val="clear"/>
              </w:rPr>
              <w:t>三、服务要求</w:t>
            </w:r>
          </w:p>
          <w:p>
            <w:pPr>
              <w:pStyle w:val="null3"/>
              <w:ind w:firstLine="480"/>
              <w:jc w:val="both"/>
            </w:pPr>
            <w:r>
              <w:rPr>
                <w:rFonts w:ascii="仿宋_GB2312" w:hAnsi="仿宋_GB2312" w:cs="仿宋_GB2312" w:eastAsia="仿宋_GB2312"/>
                <w:sz w:val="24"/>
              </w:rPr>
              <w:t>（一）服务商须精心组建项目团队，确定项目负责人，并对项目团队的政治素质和业务素质负责。</w:t>
            </w:r>
          </w:p>
          <w:p>
            <w:pPr>
              <w:pStyle w:val="null3"/>
              <w:ind w:firstLine="480"/>
              <w:jc w:val="both"/>
            </w:pPr>
            <w:r>
              <w:rPr>
                <w:rFonts w:ascii="仿宋_GB2312" w:hAnsi="仿宋_GB2312" w:cs="仿宋_GB2312" w:eastAsia="仿宋_GB2312"/>
                <w:sz w:val="24"/>
              </w:rPr>
              <w:t>（二）项目组成员须有较强的组织和协调能力，具有较高的理论素养和分析解决问题的能力。</w:t>
            </w:r>
          </w:p>
          <w:p>
            <w:pPr>
              <w:pStyle w:val="null3"/>
              <w:ind w:firstLine="480"/>
              <w:jc w:val="both"/>
            </w:pPr>
            <w:r>
              <w:rPr>
                <w:rFonts w:ascii="仿宋_GB2312" w:hAnsi="仿宋_GB2312" w:cs="仿宋_GB2312" w:eastAsia="仿宋_GB2312"/>
                <w:sz w:val="24"/>
              </w:rPr>
              <w:t>（三）项目负责人必须是该项目实施全过程的真正组织者和指导者，并担负项目成果审查工作。挂名或不担负成果审查工作的，不得作为项目负责人。</w:t>
            </w:r>
          </w:p>
          <w:p>
            <w:pPr>
              <w:pStyle w:val="null3"/>
              <w:ind w:firstLine="480"/>
              <w:jc w:val="both"/>
            </w:pPr>
            <w:r>
              <w:rPr>
                <w:rFonts w:ascii="仿宋_GB2312" w:hAnsi="仿宋_GB2312" w:cs="仿宋_GB2312" w:eastAsia="仿宋_GB2312"/>
                <w:sz w:val="24"/>
              </w:rPr>
              <w:t>（四）项目团队成员应当熟悉湿地保护修复相关法律法规、规范标准等，熟悉相关管理部门的政策要求。</w:t>
            </w:r>
          </w:p>
          <w:p>
            <w:pPr>
              <w:pStyle w:val="null3"/>
              <w:ind w:firstLine="480"/>
              <w:jc w:val="both"/>
            </w:pPr>
            <w:r>
              <w:rPr>
                <w:rFonts w:ascii="仿宋_GB2312" w:hAnsi="仿宋_GB2312" w:cs="仿宋_GB2312" w:eastAsia="仿宋_GB2312"/>
                <w:sz w:val="24"/>
              </w:rPr>
              <w:t>（五）项目团队成员及其主要成员履约过程中不得随意更换，确需调整时，须书面提请采购人同意。</w:t>
            </w:r>
          </w:p>
          <w:p>
            <w:pPr>
              <w:pStyle w:val="null3"/>
              <w:jc w:val="both"/>
            </w:pPr>
            <w:r>
              <w:rPr>
                <w:rFonts w:ascii="仿宋_GB2312" w:hAnsi="仿宋_GB2312" w:cs="仿宋_GB2312" w:eastAsia="仿宋_GB2312"/>
                <w:sz w:val="24"/>
              </w:rPr>
              <w:t xml:space="preserve">   （六）项目团队需对项目全过程涉密资料及数据进行保密。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2"/>
            </w:pPr>
            <w:r>
              <w:rPr>
                <w:rFonts w:ascii="仿宋_GB2312" w:hAnsi="仿宋_GB2312" w:cs="仿宋_GB2312" w:eastAsia="仿宋_GB2312"/>
                <w:sz w:val="24"/>
                <w:shd w:fill="FFFFFF" w:val="clear"/>
              </w:rPr>
              <w:t>四、成果要求</w:t>
            </w:r>
          </w:p>
          <w:p>
            <w:pPr>
              <w:pStyle w:val="null3"/>
              <w:ind w:firstLine="480"/>
              <w:jc w:val="both"/>
            </w:pPr>
            <w:r>
              <w:rPr>
                <w:rFonts w:ascii="仿宋_GB2312" w:hAnsi="仿宋_GB2312" w:cs="仿宋_GB2312" w:eastAsia="仿宋_GB2312"/>
                <w:sz w:val="24"/>
                <w:shd w:fill="FFFFFF" w:val="clear"/>
              </w:rPr>
              <w:t>（一）成果质量要求：</w:t>
            </w:r>
          </w:p>
          <w:p>
            <w:pPr>
              <w:pStyle w:val="null3"/>
              <w:ind w:firstLine="480"/>
              <w:jc w:val="both"/>
            </w:pPr>
            <w:r>
              <w:rPr>
                <w:rFonts w:ascii="仿宋_GB2312" w:hAnsi="仿宋_GB2312" w:cs="仿宋_GB2312" w:eastAsia="仿宋_GB2312"/>
                <w:sz w:val="24"/>
              </w:rPr>
              <w:t>成果符合国家有关政策、法规和行业现行规范、规程及招标人要求，并满足湿地主管部门审查要求。</w:t>
            </w:r>
          </w:p>
          <w:p>
            <w:pPr>
              <w:pStyle w:val="null3"/>
              <w:ind w:firstLine="480"/>
              <w:jc w:val="both"/>
            </w:pPr>
            <w:r>
              <w:rPr>
                <w:rFonts w:ascii="仿宋_GB2312" w:hAnsi="仿宋_GB2312" w:cs="仿宋_GB2312" w:eastAsia="仿宋_GB2312"/>
                <w:sz w:val="24"/>
                <w:shd w:fill="FFFFFF" w:val="clear"/>
              </w:rPr>
              <w:t>（二）成果交付要求：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自合同生效之日起至完成本项目全部内容同时配合取得湿地主管部门批复意见书止。</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2"/>
            </w:pPr>
            <w:r>
              <w:rPr>
                <w:rFonts w:ascii="仿宋_GB2312" w:hAnsi="仿宋_GB2312" w:cs="仿宋_GB2312" w:eastAsia="仿宋_GB2312"/>
                <w:sz w:val="24"/>
                <w:shd w:fill="FFFFFF" w:val="clear"/>
              </w:rPr>
              <w:t>五、其他</w:t>
            </w:r>
          </w:p>
          <w:p>
            <w:pPr>
              <w:pStyle w:val="null3"/>
              <w:ind w:firstLine="480"/>
              <w:jc w:val="both"/>
            </w:pPr>
            <w:r>
              <w:rPr>
                <w:rFonts w:ascii="仿宋_GB2312" w:hAnsi="仿宋_GB2312" w:cs="仿宋_GB2312" w:eastAsia="仿宋_GB2312"/>
                <w:sz w:val="24"/>
                <w:shd w:fill="FFFFFF" w:val="clear"/>
              </w:rPr>
              <w:t>（一）符合《中华人民共和国政府采购法》第二十二条、第二十三条、第二十四条规定；</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）项目不接受联合体。</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三</w:t>
            </w:r>
            <w:r>
              <w:rPr>
                <w:rFonts w:ascii="仿宋_GB2312" w:hAnsi="仿宋_GB2312" w:cs="仿宋_GB2312" w:eastAsia="仿宋_GB2312"/>
                <w:sz w:val="24"/>
                <w:shd w:fill="FFFFFF" w:val="clear"/>
              </w:rPr>
              <w:t>）</w:t>
            </w:r>
            <w:r>
              <w:rPr>
                <w:rFonts w:ascii="仿宋_GB2312" w:hAnsi="仿宋_GB2312" w:cs="仿宋_GB2312" w:eastAsia="仿宋_GB2312"/>
                <w:sz w:val="24"/>
              </w:rPr>
              <w:t>技术服务单位需配合完成采购人安排的与本项目有关的其他事项。</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四</w:t>
            </w:r>
            <w:r>
              <w:rPr>
                <w:rFonts w:ascii="仿宋_GB2312" w:hAnsi="仿宋_GB2312" w:cs="仿宋_GB2312" w:eastAsia="仿宋_GB2312"/>
                <w:sz w:val="24"/>
                <w:shd w:fill="FFFFFF" w:val="clear"/>
              </w:rPr>
              <w:t>）进度要求</w:t>
            </w:r>
          </w:p>
          <w:p>
            <w:pPr>
              <w:pStyle w:val="null3"/>
              <w:ind w:firstLine="480"/>
              <w:jc w:val="both"/>
            </w:pPr>
            <w:r>
              <w:rPr>
                <w:rFonts w:ascii="仿宋_GB2312" w:hAnsi="仿宋_GB2312" w:cs="仿宋_GB2312" w:eastAsia="仿宋_GB2312"/>
                <w:sz w:val="24"/>
              </w:rPr>
              <w:t>1.自合同生效之日起至完成本项目全部内容同时配合取得湿地主管部门批复意见书。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技术服务单位应定期</w:t>
            </w:r>
            <w:r>
              <w:rPr>
                <w:rFonts w:ascii="仿宋_GB2312" w:hAnsi="仿宋_GB2312" w:cs="仿宋_GB2312" w:eastAsia="仿宋_GB2312"/>
                <w:sz w:val="24"/>
              </w:rPr>
              <w:t>(</w:t>
            </w:r>
            <w:r>
              <w:rPr>
                <w:rFonts w:ascii="仿宋_GB2312" w:hAnsi="仿宋_GB2312" w:cs="仿宋_GB2312" w:eastAsia="仿宋_GB2312"/>
                <w:sz w:val="24"/>
              </w:rPr>
              <w:t>周、月</w:t>
            </w:r>
            <w:r>
              <w:rPr>
                <w:rFonts w:ascii="仿宋_GB2312" w:hAnsi="仿宋_GB2312" w:cs="仿宋_GB2312" w:eastAsia="仿宋_GB2312"/>
                <w:sz w:val="24"/>
              </w:rPr>
              <w:t>)</w:t>
            </w:r>
            <w:r>
              <w:rPr>
                <w:rFonts w:ascii="仿宋_GB2312" w:hAnsi="仿宋_GB2312" w:cs="仿宋_GB2312" w:eastAsia="仿宋_GB2312"/>
                <w:sz w:val="24"/>
              </w:rPr>
              <w:t>向采购人提供项目工作进度。</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采购人根据实际需要，对项目进展情况不定期听取汇报。</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受不可抗力</w:t>
            </w:r>
            <w:r>
              <w:rPr>
                <w:rFonts w:ascii="仿宋_GB2312" w:hAnsi="仿宋_GB2312" w:cs="仿宋_GB2312" w:eastAsia="仿宋_GB2312"/>
                <w:sz w:val="24"/>
              </w:rPr>
              <w:t>(</w:t>
            </w:r>
            <w:r>
              <w:rPr>
                <w:rFonts w:ascii="仿宋_GB2312" w:hAnsi="仿宋_GB2312" w:cs="仿宋_GB2312" w:eastAsia="仿宋_GB2312"/>
                <w:sz w:val="24"/>
              </w:rPr>
              <w:t>规划编制完成时间延后、提前；上位要求变化等</w:t>
            </w:r>
            <w:r>
              <w:rPr>
                <w:rFonts w:ascii="仿宋_GB2312" w:hAnsi="仿宋_GB2312" w:cs="仿宋_GB2312" w:eastAsia="仿宋_GB2312"/>
                <w:sz w:val="24"/>
              </w:rPr>
              <w:t>)</w:t>
            </w:r>
            <w:r>
              <w:rPr>
                <w:rFonts w:ascii="仿宋_GB2312" w:hAnsi="仿宋_GB2312" w:cs="仿宋_GB2312" w:eastAsia="仿宋_GB2312"/>
                <w:sz w:val="24"/>
              </w:rPr>
              <w:t>因素影响，采购人可适当调整进度要求。</w:t>
            </w:r>
          </w:p>
          <w:p>
            <w:pPr>
              <w:pStyle w:val="null3"/>
              <w:ind w:firstLine="480"/>
              <w:jc w:val="both"/>
            </w:pPr>
            <w:r>
              <w:rPr>
                <w:rFonts w:ascii="仿宋_GB2312" w:hAnsi="仿宋_GB2312" w:cs="仿宋_GB2312" w:eastAsia="仿宋_GB2312"/>
                <w:sz w:val="24"/>
              </w:rPr>
              <w:t>（五）质量验收标准或规范</w:t>
            </w:r>
          </w:p>
          <w:p>
            <w:pPr>
              <w:pStyle w:val="null3"/>
              <w:jc w:val="both"/>
            </w:pPr>
            <w:r>
              <w:rPr>
                <w:rFonts w:ascii="仿宋_GB2312" w:hAnsi="仿宋_GB2312" w:cs="仿宋_GB2312" w:eastAsia="仿宋_GB2312"/>
                <w:sz w:val="24"/>
              </w:rPr>
              <w:t>成果质量符合采购人及湿地主管部门的相关要求，并通过专家论证或评审。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自合同生效之日起至完成本项目全部内容同时配合取得湿地主管部门批复意见书止。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成果质量符合采购人及湿地主管部门的相关要求，并通过专家论证或评审。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项目成果经甲方审核提交湿地主管部门后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项目获取湿地主管部门批复意见后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中的相关条款执行。2、未按合同要求提供服务或服务质量不能满足本次采购要求，采购人会同监督机构、采购代理机构有权终止合同和对成交供应商违约行为进行追究，同时按政府采购法的有关规定进行相应的处罚。争议解决:合同及其附件发生的或与本 合同及其附件有关的一切争议，双方应在友好协商的基础上予以解决。经友好协商仍不能达成解决措施的，甲乙任何一方有权将争议提交西安仲栽委员会在西安进行裁决，若仲裁未解决的，可向项目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请成交供应商在领取成交通知书时，向我代理机构递交响应文件正本壹份、副本贰份，电子文件贰份（纸质文件与线上评审电子文件保持一致）。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投标的，须提供本人身份证加盖公章的复印件；法定代表人授权他人参加投标的，须提供法定代表人授权委托书及被授权代表的身份证复印件及授权代表在本单位2024年8月至今已缴纳的至少任意三个月的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响应供应商需提供有效合格的具有统一社会信用代码的营业执照，其他组织经营的须提供合法凭证，自然人提供身份证明文件；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财务会计报告（至少包括资产负债表和利润表）或投标截止时间前半年内基本存款账户开户银行出具的资信证明文件及基本存款账户开户许可证（无基本存款账户开户许可证可提供其基本存款账户信息证明）；成立时间至提交响应文件截止时间不足一年的可提供成立后任意时段的资产负债表或信用担保机构出具的投标担保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提供供应商2024年8月1日以来任意三个月已缴纳的社会保障资金缴存单据或社保机构开具的社会保险参保缴费情况证明；依法不需要缴纳社会保障资金的供应商应提供加盖公章的相关证明文件；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提供供应商2024年8月1日以来任意三个月已缴纳的纳税证明或完税证明，依法免税的供应商应提供加盖公章的相关证明文件；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履行合同能力的证明材料</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书面信用声明</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供应商需具备具备有效的林业调查规划设计丙级及以上资质；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资格证明文件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响应文件上法定代表人（负责人）或其授权代表人的签字齐全并加盖公章</w:t>
            </w:r>
          </w:p>
        </w:tc>
        <w:tc>
          <w:tcPr>
            <w:tcW w:type="dxa" w:w="1661"/>
          </w:tcPr>
          <w:p>
            <w:pPr>
              <w:pStyle w:val="null3"/>
            </w:pPr>
            <w:r>
              <w:rPr>
                <w:rFonts w:ascii="仿宋_GB2312" w:hAnsi="仿宋_GB2312" w:cs="仿宋_GB2312" w:eastAsia="仿宋_GB2312"/>
              </w:rPr>
              <w:t>响应文件封面 资格证明文件 分项报价表.docx 商务偏离表 中小企业声明函 残疾人福利性单位声明函 服务方案 标的清单 报价表 响应供应商基本情况表.docx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响应文件封面 资格证明文件 分项报价表.docx 商务偏离表 中小企业声明函 残疾人福利性单位声明函 服务方案 标的清单 报价表 响应供应商基本情况表.docx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（1）货币单位符合采购文件要求 （2）报价符合唯一性要求 （3）未超出采购预算或最高限价 （4）符合《磋商一览表》的填报要求</w:t>
            </w:r>
          </w:p>
        </w:tc>
        <w:tc>
          <w:tcPr>
            <w:tcW w:type="dxa" w:w="1661"/>
          </w:tcPr>
          <w:p>
            <w:pPr>
              <w:pStyle w:val="null3"/>
            </w:pPr>
            <w:r>
              <w:rPr>
                <w:rFonts w:ascii="仿宋_GB2312" w:hAnsi="仿宋_GB2312" w:cs="仿宋_GB2312" w:eastAsia="仿宋_GB2312"/>
              </w:rPr>
              <w:t>响应文件封面 资格证明文件 分项报价表.docx 商务偏离表 中小企业声明函 残疾人福利性单位声明函 服务方案 标的清单 报价表 响应供应商基本情况表.docx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技术（服务）条款</w:t>
            </w:r>
          </w:p>
        </w:tc>
        <w:tc>
          <w:tcPr>
            <w:tcW w:type="dxa" w:w="3322"/>
          </w:tcPr>
          <w:p>
            <w:pPr>
              <w:pStyle w:val="null3"/>
            </w:pPr>
            <w:r>
              <w:rPr>
                <w:rFonts w:ascii="仿宋_GB2312" w:hAnsi="仿宋_GB2312" w:cs="仿宋_GB2312" w:eastAsia="仿宋_GB2312"/>
              </w:rPr>
              <w:t>完全理解并响应采购文件商务条款的要求，且未含有采购人不能接受的附加条件的。</w:t>
            </w:r>
          </w:p>
        </w:tc>
        <w:tc>
          <w:tcPr>
            <w:tcW w:type="dxa" w:w="1661"/>
          </w:tcPr>
          <w:p>
            <w:pPr>
              <w:pStyle w:val="null3"/>
            </w:pPr>
            <w:r>
              <w:rPr>
                <w:rFonts w:ascii="仿宋_GB2312" w:hAnsi="仿宋_GB2312" w:cs="仿宋_GB2312" w:eastAsia="仿宋_GB2312"/>
              </w:rPr>
              <w:t>响应文件封面 资格证明文件 分项报价表.docx 商务偏离表 中小企业声明函 残疾人福利性单位声明函 服务方案 标的清单 报价表 响应供应商基本情况表.docx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商务条款（如合同履行期限、付款方式、响应有效期等）</w:t>
            </w:r>
          </w:p>
        </w:tc>
        <w:tc>
          <w:tcPr>
            <w:tcW w:type="dxa" w:w="3322"/>
          </w:tcPr>
          <w:p>
            <w:pPr>
              <w:pStyle w:val="null3"/>
            </w:pPr>
            <w:r>
              <w:rPr>
                <w:rFonts w:ascii="仿宋_GB2312" w:hAnsi="仿宋_GB2312" w:cs="仿宋_GB2312" w:eastAsia="仿宋_GB2312"/>
              </w:rPr>
              <w:t>完全理解并响应采购文件商务条款的要求，且未含有采购人不能接受的附加条件的。</w:t>
            </w:r>
          </w:p>
        </w:tc>
        <w:tc>
          <w:tcPr>
            <w:tcW w:type="dxa" w:w="1661"/>
          </w:tcPr>
          <w:p>
            <w:pPr>
              <w:pStyle w:val="null3"/>
            </w:pPr>
            <w:r>
              <w:rPr>
                <w:rFonts w:ascii="仿宋_GB2312" w:hAnsi="仿宋_GB2312" w:cs="仿宋_GB2312" w:eastAsia="仿宋_GB2312"/>
              </w:rPr>
              <w:t>响应文件封面 资格证明文件 分项报价表.docx 商务偏离表 中小企业声明函 残疾人福利性单位声明函 服务方案 标的清单 报价表 响应供应商基本情况表.docx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供应商结合项目背景和现状结合采购内容进行分析。对本项目背景了解、现状理解透彻、项目目标、任务理解及对项目内容情况理解有详细分析的得（7-10】分；对本项目背景了解基本正确、现状理解较为简单、项目目标、任务理解及对项目内容情况分析不够详细得（4-7】分； 对本项目背景了解较为简单、现状不够理解、项目目标、任务理解及对项目内容情况分析欠缺得（0～4】分。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 xml:space="preserve"> 根据本项目的服务特点、服务目标、服务要求、服务方式等内容，磋商小组对响应文件中提供的以上内容的完整性、科学性、合理性、计划性进行综合评审。 针对本项目所提供的整体服务方案全面具体规范，合理可行得（12-18】分； 针对本项目所提供的整体服务方案基本规范，可行性一般得（6-12】分；针对本项目所提供的整体服务方案不够全面具体得（0～6】分。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组织计划和人员构成方案</w:t>
            </w:r>
          </w:p>
        </w:tc>
        <w:tc>
          <w:tcPr>
            <w:tcW w:type="dxa" w:w="2492"/>
          </w:tcPr>
          <w:p>
            <w:pPr>
              <w:pStyle w:val="null3"/>
            </w:pPr>
            <w:r>
              <w:rPr>
                <w:rFonts w:ascii="仿宋_GB2312" w:hAnsi="仿宋_GB2312" w:cs="仿宋_GB2312" w:eastAsia="仿宋_GB2312"/>
              </w:rPr>
              <w:t>组织机构设置合理，管理人员及技术人员配备数量充足、人员职责明确、分工清晰合理、相关项目实施经验丰富，得（7-10】分； 组织机构设置较为合理，管理人员及技术人员配备数量较充足、职责较明确、分工较清晰合理、相关项目实施经验较丰富，得（4-7】分； 组织机构设置一般，管理人员及技术人员配备数量不够充足、职责不够明确、分工不够清晰合理，不具备相关项目实施经验，得（0-4】分。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w:t>
            </w:r>
          </w:p>
        </w:tc>
        <w:tc>
          <w:tcPr>
            <w:tcW w:type="dxa" w:w="2492"/>
          </w:tcPr>
          <w:p>
            <w:pPr>
              <w:pStyle w:val="null3"/>
            </w:pPr>
            <w:r>
              <w:rPr>
                <w:rFonts w:ascii="仿宋_GB2312" w:hAnsi="仿宋_GB2312" w:cs="仿宋_GB2312" w:eastAsia="仿宋_GB2312"/>
              </w:rPr>
              <w:t>工作进度计划全面详细、合理，符合实际对完成本项目有详细、合理的时间计划、进度安排和保障措施，针对性很强，保证措施有力，能够很好地满足项目需求，违约措施及承诺具体可行，可操作性高得（7-10】分； 工作进度计划详细、合理，符合实际，有明确，较为合理的时间安排，工作计划针对性强，保证措施一般，能够满足项目需求，违约措施及承诺较好，可操作性较好（4-7】分； 工作进度计划基本完整、有合理性，有一定的针对性，有保证措施，基本能够满足项目要求，违约措施及承诺一般，可操作性一般得（0-4】分。 工作进度计划不完整不合理，无针对性，保证措施差或无进度计划及保证措施的不得分0分。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针对本项目质量保证措施（含服务期内出现满意度下降等情况时的处罚办法）。有具体可行的质量保证措施，方案具体、完整、可操作性强的得（7-10】分； 质量保证措施较完整、可操作性一般的得（4-7】分； 质量保证措施较完整、可操作性差的得（0-4】分。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供应商根据对项目得理解，分析项目实施过程中的潜在重难点工作，并提出解决方案。重难点把握准确，解决方案合理得（7-10】，重难点把握一般得，解决 方案较合理得（4-7】，重难点把握不准确得（0-4】。</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 xml:space="preserve"> 针对本项目实际情况提出合理化建议。 合理化建议详细、可行，有利于本项目工作顺利进行的，得（4-7】分； 合理化建议基本合理，得（0-4】分。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廉洁从业及保密保障措施</w:t>
            </w:r>
          </w:p>
        </w:tc>
        <w:tc>
          <w:tcPr>
            <w:tcW w:type="dxa" w:w="2492"/>
          </w:tcPr>
          <w:p>
            <w:pPr>
              <w:pStyle w:val="null3"/>
            </w:pPr>
            <w:r>
              <w:rPr>
                <w:rFonts w:ascii="仿宋_GB2312" w:hAnsi="仿宋_GB2312" w:cs="仿宋_GB2312" w:eastAsia="仿宋_GB2312"/>
              </w:rPr>
              <w:t>对项目相关技术人员廉洁从业、保密措施，根据响应单位措施内容按以下标准进行打分。 （1）措施内容完整详尽，符合项目实际情况计(3-5】分； （2）不符合上述情形的计（0-3】分。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依据磋商响应文件所提供的服务保障措施（包括但不限于服务承诺、应急处理措施等）： （1）服务承诺考虑全面，应急处理措施完善周到，及时有效，得(3-5】； （2）服务承诺内容较少，及应急处理措施不完善，得（0-3】。</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具有2022年5月1日以后类似项目业绩（以合同或中标通知书复印件加盖公章为依据）。每提供一个业绩得2.5分，满分5分。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详见附件：响应供应商基本情况表.docx</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