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版本号：YXZB-2025-052220250526001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西安市渭滨水源地部分水源井及管道更新工程水资源论证报告</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YXZB-2025-0522</w:t>
      </w:r>
      <w:r>
        <w:br/>
      </w:r>
      <w:r>
        <w:br/>
      </w:r>
      <w:r>
        <w:br/>
      </w:r>
    </w:p>
    <w:p>
      <w:pPr>
        <w:pStyle w:val="null3"/>
        <w:jc w:val="center"/>
        <w:outlineLvl w:val="2"/>
      </w:pPr>
      <w:r>
        <w:rPr>
          <w:rFonts w:ascii="仿宋_GB2312" w:hAnsi="仿宋_GB2312" w:cs="仿宋_GB2312" w:eastAsia="仿宋_GB2312"/>
          <w:sz w:val="28"/>
          <w:b/>
        </w:rPr>
        <w:t>西安经济技术开发区住房和城乡建设局</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西安经济技术开发区住房和城乡建设局</w:t>
      </w:r>
      <w:r>
        <w:rPr>
          <w:rFonts w:ascii="仿宋_GB2312" w:hAnsi="仿宋_GB2312" w:cs="仿宋_GB2312" w:eastAsia="仿宋_GB2312"/>
        </w:rPr>
        <w:t>委托，拟对</w:t>
      </w:r>
      <w:r>
        <w:rPr>
          <w:rFonts w:ascii="仿宋_GB2312" w:hAnsi="仿宋_GB2312" w:cs="仿宋_GB2312" w:eastAsia="仿宋_GB2312"/>
        </w:rPr>
        <w:t>西安市渭滨水源地部分水源井及管道更新工程水资源论证报告</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YXZB-2025-0522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西安市渭滨水源地部分水源井及管道更新工程水资源论证报告</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西安市渭滨水源地部分水源井及管道更新工程用水现状分析、用水合理性分析、取水水源论证、取退水影响论证、水资源保护措施建议等。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法定代表人授权书：法定代表人授权书（附法定代表人身份证复印件）及被授权人身份证复印件（法定代表人直接参加投标只需提供法定代表人身份证明及法定代表人身份证复印件）。自然人只需提供身份证；备注：分支机构由分支机构负责人授权即可；</w:t>
      </w:r>
    </w:p>
    <w:p>
      <w:pPr>
        <w:pStyle w:val="null3"/>
      </w:pPr>
      <w:r>
        <w:rPr>
          <w:rFonts w:ascii="仿宋_GB2312" w:hAnsi="仿宋_GB2312" w:cs="仿宋_GB2312" w:eastAsia="仿宋_GB2312"/>
        </w:rPr>
        <w:t>3、资质证明：须具备水利部颁发的建设项目水资源论证乙级或以上资质证书；</w:t>
      </w:r>
    </w:p>
    <w:p>
      <w:pPr>
        <w:pStyle w:val="null3"/>
      </w:pPr>
      <w:r>
        <w:rPr>
          <w:rFonts w:ascii="仿宋_GB2312" w:hAnsi="仿宋_GB2312" w:cs="仿宋_GB2312" w:eastAsia="仿宋_GB2312"/>
        </w:rPr>
        <w:t>4、财务状况报告：提供经审计的2023年或2024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5、税收缴纳证明：提供已缴纳的2024年5月至今任意一个月的纳税证明或完税证明，纳税证明或完税证明上应有代收机构或税务机关的公章或业务专用章。依法免税的供应商应提供相关文件证明；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社会保障资金缴纳证明：提供已缴存的2024年5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7、具有履行合同所必需的设备和专业技术能力的承诺：供应商须提供具有履行合同所必需的设备和专业技术能力的承诺；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8、三年内无重大违记录声明：出具参加本次政府采购活动前三年内在经营活动中没有重大违法记录的书面声明；</w:t>
      </w:r>
    </w:p>
    <w:p>
      <w:pPr>
        <w:pStyle w:val="null3"/>
      </w:pPr>
      <w:r>
        <w:rPr>
          <w:rFonts w:ascii="仿宋_GB2312" w:hAnsi="仿宋_GB2312" w:cs="仿宋_GB2312" w:eastAsia="仿宋_GB2312"/>
        </w:rPr>
        <w:t>9、信誉要求：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10、本项目不接受联合体磋商：本项目不接受联合体磋商（提供书面声明）。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凯瑞F座601室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西安经济技术开发区住房和城乡建设局经办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029-86186211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西安市高新区泰维智链中心一期 B 座2层202室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孙梅雪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17791286164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 不足5000.00元按5000.00元收取。 2.采购代理服务费收取： 单位名称：陕西玥鑫项目管理有限公司 开户银行：中国建设银行股份有限公司西安祥和居支行 银行账户：6105 0110 1948 0000 0615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西安经济技术开发区住房和城乡建设局</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水资源论证报告技术咨询成果应通过主管部门的审查，取得取得行政许可决定书。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联系人：孙梅雪</w:t>
      </w:r>
    </w:p>
    <w:p>
      <w:pPr>
        <w:pStyle w:val="null3"/>
      </w:pPr>
      <w:r>
        <w:rPr>
          <w:rFonts w:ascii="仿宋_GB2312" w:hAnsi="仿宋_GB2312" w:cs="仿宋_GB2312" w:eastAsia="仿宋_GB2312"/>
        </w:rPr>
        <w:t>联系电话：17791286164</w:t>
      </w:r>
    </w:p>
    <w:p>
      <w:pPr>
        <w:pStyle w:val="null3"/>
      </w:pPr>
      <w:r>
        <w:rPr>
          <w:rFonts w:ascii="仿宋_GB2312" w:hAnsi="仿宋_GB2312" w:cs="仿宋_GB2312" w:eastAsia="仿宋_GB2312"/>
        </w:rPr>
        <w:t>地址：西安市高新区泰维智链中心一期 B 座2层202室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西安市渭滨水源地部分水源井及管道更新工程用水现状分析、用水合理性分析、取水水源论证、取退水影响论证、水资源保护措施建议等。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西安市渭滨水源地部分水源井及管道更新工程水资源论证报告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标的名称：西安市渭滨水源地部分水源井及管道更新工程水资源论证报告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为西安市渭滨水源地部分水源井及管道更新工程编制水资源评估报告，包括用水现状分析、用水合理性分析、取水水源论证、取退水影响论证、水资源保护措施建议等。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满足本项目人员配备需求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具有履行本项目合同所必需的设备和专业技术能力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合同签订后30日历天至完成本项目全部内容同时配合取得行政许可决定书止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水资源论证报告技术咨询成果应通过主管部门的审查，取得取得行政许可决定书。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提交报告并通过审查会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配合取得行政许可决定书后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2、未按合同要求提供服务或服务质量不能满足本次采购要求，采购人会同监督机构、采购代理机构有权终止合同和对成交供应商违约行为进行追究，同时按政府采购法的有关规定进行相应的处罚。 争议解决： 合同及其附件发生的或与本合同及其附件有关的一切争议，双方应在友好协商的基础上予以解决。经友好协商仍不能达成解决措施的，甲乙任何一方有权将争议提交西安仲裁委员会在 西安进行裁决，若仲裁未解决的，可向项目所在地人民法院起诉。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合同签订后30日历天内提交成果报告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需提供法定代表人身份证明及法定代表人身份证复印件）。自然人只需提供身份证；备注：分支机构由分支机构负责人授权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须具备水利部颁发的建设项目水资源论证乙级或以上资质证书；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或2024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提供已缴纳的2024年5月至今任意一个月的纳税证明或完税证明，纳税证明或完税证明上应有代收机构或税务机关的公章或业务专用章。依法免税的供应商应提供相关文件证明；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5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三年内无重大违记录声明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未超过最高限价，无选择性报价，否则按无效报价处理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项目背景和政策研究</w:t>
            </w:r>
          </w:p>
        </w:tc>
        <w:tc>
          <w:tcPr>
            <w:tcW w:type="dxa" w:w="2492"/>
          </w:tcPr>
          <w:p>
            <w:pPr>
              <w:pStyle w:val="null3"/>
            </w:pPr>
            <w:r>
              <w:rPr>
                <w:rFonts w:ascii="仿宋_GB2312" w:hAnsi="仿宋_GB2312" w:cs="仿宋_GB2312" w:eastAsia="仿宋_GB2312"/>
              </w:rPr>
              <w:t>对规划项目的背景和政策研究有充分的了解和认识，分析详细、完整、清晰得 （9-15]分，分析理解一般得 (3-9]分，分析理解较差得[ 0-3]分，未提供不得分。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编制思路及工作方案</w:t>
            </w:r>
          </w:p>
        </w:tc>
        <w:tc>
          <w:tcPr>
            <w:tcW w:type="dxa" w:w="2492"/>
          </w:tcPr>
          <w:p>
            <w:pPr>
              <w:pStyle w:val="null3"/>
            </w:pPr>
            <w:r>
              <w:rPr>
                <w:rFonts w:ascii="仿宋_GB2312" w:hAnsi="仿宋_GB2312" w:cs="仿宋_GB2312" w:eastAsia="仿宋_GB2312"/>
              </w:rPr>
              <w:t>根据项目具体情况制定详细、针对性强、合理、全面的论证方案，论证方案思路是否清晰，表述是否明确、内容详实、章节是否完善，科学合理性强，分析合理、思路清晰、方案可行得 （14-20]分,分析理解一般得 (7-14]分，分析理解较差得( 0-7)分，未提供不得分。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项目地下水监测情况、监测内容、监测时间是否清晰明确，按其响应程度计 [0-10]分，未提供不得分。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根据响应文件对本项目理解程度，对项目的关键点、提出的合理化建议可行性、科学性强得（7-10]分，合理化建议可行性较高得(3-7]分，合理化建议可行性程度不高得[0-3]分，未提供不得分。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1、拟投入的项目团队人员数量、分工情况，对设计工作的有效支撑、岗位职责明确清晰得，人员数量及专业配备满足项目要求[0-5]分。 2、拟派项目负责人具有相关专业高级职称的得2分，没有提供不得分。 3、项目组成员具有相关专业中级及以上职称的，每提供1名得1分，满分3分；以供应商响应文件中所附的人 员证书复印件为准，不提供则不得分。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具有明确的服务承诺，在编制成果至提交的过程中符合国家及采购人要求，并提供服务承诺和保证措施，按其响应程度计[0-10]分，未提供不得分。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2022年5月1日以来，供应商承担过类似项目业绩，一个项目得3分,此项最多得15分。 注：以合同协议书或中标通知书复印件为准，加盖公章。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投标报价为评标基准价，其价格分为满分。其他供应商的价格分统一按照下列公式计算：磋商报价得分=（评标基准价/投标报价）×10。注：对符合《政府采购促进中小企业发展的管理办法》（财库（2020）46 号）规定的小微企业（监狱企业视同小型、微型企业）的报价给予6%的扣除，用扣除后的价格参加评审。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