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版本号：SXZY2025-ZC010-CS20250527001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阳光馨园社区嵌入式服务建设项目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SXZY2025-ZC010-CS</w:t>
      </w:r>
      <w:r>
        <w:br/>
      </w:r>
      <w:r>
        <w:br/>
      </w:r>
      <w:r>
        <w:br/>
      </w:r>
    </w:p>
    <w:p>
      <w:pPr>
        <w:pStyle w:val="null3"/>
        <w:jc w:val="center"/>
        <w:outlineLvl w:val="2"/>
      </w:pPr>
      <w:r>
        <w:rPr>
          <w:rFonts w:ascii="仿宋_GB2312" w:hAnsi="仿宋_GB2312" w:cs="仿宋_GB2312" w:eastAsia="仿宋_GB2312"/>
          <w:sz w:val="28"/>
          <w:b/>
        </w:rPr>
        <w:t>西安经济技术开发区社会事业服务局</w:t>
      </w:r>
    </w:p>
    <w:p>
      <w:pPr>
        <w:pStyle w:val="null3"/>
        <w:jc w:val="center"/>
        <w:outlineLvl w:val="2"/>
      </w:pPr>
      <w:r>
        <w:rPr>
          <w:rFonts w:ascii="仿宋_GB2312" w:hAnsi="仿宋_GB2312" w:cs="仿宋_GB2312" w:eastAsia="仿宋_GB2312"/>
          <w:sz w:val="28"/>
          <w:b/>
        </w:rPr>
        <w:t>陕西中易项目管理有限公司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陕西中易项目管理有限公司</w:t>
      </w:r>
      <w:r>
        <w:rPr>
          <w:rFonts w:ascii="仿宋_GB2312" w:hAnsi="仿宋_GB2312" w:cs="仿宋_GB2312" w:eastAsia="仿宋_GB2312"/>
        </w:rPr>
        <w:t>（以下简称“代理机构”）受</w:t>
      </w:r>
      <w:r>
        <w:rPr>
          <w:rFonts w:ascii="仿宋_GB2312" w:hAnsi="仿宋_GB2312" w:cs="仿宋_GB2312" w:eastAsia="仿宋_GB2312"/>
        </w:rPr>
        <w:t>西安经济技术开发区社会事业服务局</w:t>
      </w:r>
      <w:r>
        <w:rPr>
          <w:rFonts w:ascii="仿宋_GB2312" w:hAnsi="仿宋_GB2312" w:cs="仿宋_GB2312" w:eastAsia="仿宋_GB2312"/>
        </w:rPr>
        <w:t>委托，拟对</w:t>
      </w:r>
      <w:r>
        <w:rPr>
          <w:rFonts w:ascii="仿宋_GB2312" w:hAnsi="仿宋_GB2312" w:cs="仿宋_GB2312" w:eastAsia="仿宋_GB2312"/>
        </w:rPr>
        <w:t>阳光馨园社区嵌入式服务建设项目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SXZY2025-ZC010-CS</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阳光馨园社区嵌入式服务建设项目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阳光馨园社区三层办公用房装修改造工程,室内面积754㎡，室外面积251.23㎡，层高4.5m,位于西安经济技术开发区泾渭工业园,本次设计配合精装修区域局部修改。主要涉及项目为阳光馨园社区三层办公用房图纸范围内的装饰工程、电气工程、给排水工程、通风工程、室外铺装工程、室外电气工程、家具工程、儿童游乐设施、厨房设备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采购包1（阳光馨园社区嵌入式服务建设）：属于专门面向中小企业采购。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1、信用记录截图：供应商不得为“信用中国”网站(wnw, creditchina. gov.cn)中列入“失信被执行人”和“重大税收违法失信主体”的供应商，不得为中国政府采购网(wn:cegp:ov:cn)政府采购“严重违法失信行为记录名单”中被财政部门禁止参加政府采购活动的供应商;(信用记录由采购代理机构在资格审查阶段前通过互联网或者相关系统查询，对列入失信被执行人、大税收违法失信主体、政府采购严重违法失信行为记录名单的供应商，采购人和采购代理机构将拒绝其参与政府采购活动，查询结果以纸质方式留存。)</w:t>
      </w:r>
    </w:p>
    <w:p>
      <w:pPr>
        <w:pStyle w:val="null3"/>
      </w:pPr>
      <w:r>
        <w:rPr>
          <w:rFonts w:ascii="仿宋_GB2312" w:hAnsi="仿宋_GB2312" w:cs="仿宋_GB2312" w:eastAsia="仿宋_GB2312"/>
        </w:rPr>
        <w:t>2、法定代表人(负责人)授权书/法定代表人身份证明：法定代表人(负责人)授权书(附法定代表人(负责人)、被授权人身份证复印件)及被授权人身份证(法定代表人(负责人)直接参加投标，须提供法定代表人(负责人)身份证明及身份证原件);</w:t>
      </w:r>
    </w:p>
    <w:p>
      <w:pPr>
        <w:pStyle w:val="null3"/>
      </w:pPr>
      <w:r>
        <w:rPr>
          <w:rFonts w:ascii="仿宋_GB2312" w:hAnsi="仿宋_GB2312" w:cs="仿宋_GB2312" w:eastAsia="仿宋_GB2312"/>
        </w:rPr>
        <w:t>3、资质等级要求：供应商须具备建设行政主管部门颁发的建筑工程施工总承包三级及以上(含三级)资质，并具有有效的安全生产许可证。</w:t>
      </w:r>
    </w:p>
    <w:p>
      <w:pPr>
        <w:pStyle w:val="null3"/>
      </w:pPr>
      <w:r>
        <w:rPr>
          <w:rFonts w:ascii="仿宋_GB2312" w:hAnsi="仿宋_GB2312" w:cs="仿宋_GB2312" w:eastAsia="仿宋_GB2312"/>
        </w:rPr>
        <w:t>4、拟派项目经理：拟派项目经理为本单位在册具备建筑工程专业二级及以上注册建造师证书（含二级），并具备安全生产考核合格证书，且无在建工程（提供无在建工程承诺书） 。</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西安经济技术开发区社会事业服务局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西安经开区凤城十二路明光路166号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029-89297672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陕西中易项目管理有限公司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陕西省西安市未央区陕西省西安市经济技术开发区凤城七路SCS赛高广场C座13层1303室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029-89291292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西安经济技术开发区财政金融局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康老师、金老师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029-86522654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采购包1：1,675,428.66元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国家发展和改革委员会办公厅颁发的《关于招标代理服务收费有关问题的通知》（发改办价格〔2003〕857号）的有关规定执行。 2.招标代理服务费账户 开户名称：陕西中易项目管理有限公司 开户银行：中国建设银行股份有限公司西安经济技术开发区支行 账号：6105 0193 0041 0000 2355</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西安经济技术开发区社会事业服务局</w:t>
      </w:r>
      <w:r>
        <w:rPr>
          <w:rFonts w:ascii="仿宋_GB2312" w:hAnsi="仿宋_GB2312" w:cs="仿宋_GB2312" w:eastAsia="仿宋_GB2312"/>
        </w:rPr>
        <w:t>和</w:t>
      </w:r>
      <w:r>
        <w:rPr>
          <w:rFonts w:ascii="仿宋_GB2312" w:hAnsi="仿宋_GB2312" w:cs="仿宋_GB2312" w:eastAsia="仿宋_GB2312"/>
        </w:rPr>
        <w:t>陕西中易项目管理有限公司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西安经济技术开发区社会事业服务局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陕西中易项目管理有限公司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西安经济技术开发区社会事业服务局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陕西中易项目管理有限公司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达到施工质量验收合格标准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陕西中易项目管理有限公司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陕西中易项目管理有限公司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陕西中易项目管理有限公司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联系电话：029-89291292</w:t>
      </w:r>
    </w:p>
    <w:p>
      <w:pPr>
        <w:pStyle w:val="null3"/>
      </w:pPr>
      <w:r>
        <w:rPr>
          <w:rFonts w:ascii="仿宋_GB2312" w:hAnsi="仿宋_GB2312" w:cs="仿宋_GB2312" w:eastAsia="仿宋_GB2312"/>
        </w:rPr>
        <w:t>地址：西安市经开区凤城七路赛高城市广场4号写字楼1303室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1,675,428.66</w:t>
      </w:r>
    </w:p>
    <w:p>
      <w:pPr>
        <w:pStyle w:val="null3"/>
      </w:pPr>
      <w:r>
        <w:rPr>
          <w:rFonts w:ascii="仿宋_GB2312" w:hAnsi="仿宋_GB2312" w:cs="仿宋_GB2312" w:eastAsia="仿宋_GB2312"/>
        </w:rPr>
        <w:t>采购包最高限价（元）: 1,675,428.66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阳光馨园社区嵌入式服务建设</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1,675,428.66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标的名称：阳光馨园社区嵌入式服务建设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 xml:space="preserve">      项目为阳光馨园社区三层办公用房装修改造工程,室内面积754㎡，室外面积251.23㎡，层高4.5m,位于西安经济技术开发区泾渭工业园,本次设计配合精装修区域局部修改。主要涉及项目为阳光馨园社区三层办公用房图纸范围内的装饰工程、电气工程、给排水工程、通风工程、室外铺装工程、室外电气工程、家具工程、儿童游乐设施、厨房设备工程。</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二、装修改造内容</w:t>
            </w:r>
          </w:p>
          <w:p>
            <w:pPr>
              <w:pStyle w:val="null3"/>
            </w:pPr>
            <w:r>
              <w:rPr>
                <w:rFonts w:ascii="仿宋_GB2312" w:hAnsi="仿宋_GB2312" w:cs="仿宋_GB2312" w:eastAsia="仿宋_GB2312"/>
              </w:rPr>
              <w:t>（1）室内房屋装修：室内房屋装修总面积780㎡，涉及墙面粉刷、铺设地砖、消防改造、厨房排烟、厨房设备、空调安装、家电家具、室内软装等。</w:t>
            </w:r>
          </w:p>
          <w:p>
            <w:pPr>
              <w:pStyle w:val="null3"/>
            </w:pPr>
            <w:r>
              <w:rPr>
                <w:rFonts w:ascii="仿宋_GB2312" w:hAnsi="仿宋_GB2312" w:cs="仿宋_GB2312" w:eastAsia="仿宋_GB2312"/>
              </w:rPr>
              <w:t>（2）室外场地修缮：室外场地修缮总面积4500㎡，涉及地面硬化、铺设草坪、石材道沿收口、室外电动车棚安装、室外乒乓球桌安装等。</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三、工期</w:t>
            </w:r>
          </w:p>
          <w:p>
            <w:pPr>
              <w:pStyle w:val="null3"/>
            </w:pPr>
            <w:r>
              <w:rPr>
                <w:rFonts w:ascii="仿宋_GB2312" w:hAnsi="仿宋_GB2312" w:cs="仿宋_GB2312" w:eastAsia="仿宋_GB2312"/>
              </w:rPr>
              <w:t>自合同签订之日起60日历天</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四、质量标准</w:t>
            </w:r>
          </w:p>
          <w:p>
            <w:pPr>
              <w:pStyle w:val="null3"/>
            </w:pPr>
            <w:r>
              <w:rPr>
                <w:rFonts w:ascii="仿宋_GB2312" w:hAnsi="仿宋_GB2312" w:cs="仿宋_GB2312" w:eastAsia="仿宋_GB2312"/>
              </w:rPr>
              <w:t>工程质量符合国家现行行业施工验收规范“合格”标准。</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五、编制依据</w:t>
            </w:r>
          </w:p>
          <w:p>
            <w:pPr>
              <w:pStyle w:val="null3"/>
            </w:pPr>
            <w:r>
              <w:rPr>
                <w:rFonts w:ascii="仿宋_GB2312" w:hAnsi="仿宋_GB2312" w:cs="仿宋_GB2312" w:eastAsia="仿宋_GB2312"/>
              </w:rPr>
              <w:t>1、《陕西省建设工程工程量清单计价规则》（2009）；</w:t>
            </w:r>
          </w:p>
          <w:p>
            <w:pPr>
              <w:pStyle w:val="null3"/>
            </w:pPr>
            <w:r>
              <w:rPr>
                <w:rFonts w:ascii="仿宋_GB2312" w:hAnsi="仿宋_GB2312" w:cs="仿宋_GB2312" w:eastAsia="仿宋_GB2312"/>
              </w:rPr>
              <w:t xml:space="preserve">           2、《陕西省建筑、装饰、安装工程价目表》（2009）；</w:t>
            </w:r>
          </w:p>
          <w:p>
            <w:pPr>
              <w:pStyle w:val="null3"/>
            </w:pPr>
            <w:r>
              <w:rPr>
                <w:rFonts w:ascii="仿宋_GB2312" w:hAnsi="仿宋_GB2312" w:cs="仿宋_GB2312" w:eastAsia="仿宋_GB2312"/>
              </w:rPr>
              <w:t xml:space="preserve">           3、《全统修缮定额土建工程陕西省价目表》（2001）；</w:t>
            </w:r>
          </w:p>
          <w:p>
            <w:pPr>
              <w:pStyle w:val="null3"/>
            </w:pPr>
            <w:r>
              <w:rPr>
                <w:rFonts w:ascii="仿宋_GB2312" w:hAnsi="仿宋_GB2312" w:cs="仿宋_GB2312" w:eastAsia="仿宋_GB2312"/>
              </w:rPr>
              <w:t xml:space="preserve">           4、《陕西省建筑、装饰、安装工程消耗量定额》（2004）及补充定额；</w:t>
            </w:r>
          </w:p>
          <w:p>
            <w:pPr>
              <w:pStyle w:val="null3"/>
            </w:pPr>
            <w:r>
              <w:rPr>
                <w:rFonts w:ascii="仿宋_GB2312" w:hAnsi="仿宋_GB2312" w:cs="仿宋_GB2312" w:eastAsia="仿宋_GB2312"/>
              </w:rPr>
              <w:t xml:space="preserve">           5、《陕西省室内装饰工程定额》（2002）；</w:t>
            </w:r>
          </w:p>
          <w:p>
            <w:pPr>
              <w:pStyle w:val="null3"/>
            </w:pPr>
            <w:r>
              <w:rPr>
                <w:rFonts w:ascii="仿宋_GB2312" w:hAnsi="仿宋_GB2312" w:cs="仿宋_GB2312" w:eastAsia="仿宋_GB2312"/>
              </w:rPr>
              <w:t xml:space="preserve">           6、《陕西省建筑工程工程量清单计价费率》（2009）；</w:t>
            </w:r>
          </w:p>
          <w:p>
            <w:pPr>
              <w:pStyle w:val="null3"/>
            </w:pPr>
            <w:r>
              <w:rPr>
                <w:rFonts w:ascii="仿宋_GB2312" w:hAnsi="仿宋_GB2312" w:cs="仿宋_GB2312" w:eastAsia="仿宋_GB2312"/>
              </w:rPr>
              <w:t xml:space="preserve">            7、陕西省住房和城乡建设厅《关于增加建设工程扬尘治理专项措施费及综合人工单价调整的通知》（陕建发【2017】270号）；</w:t>
            </w:r>
          </w:p>
          <w:p>
            <w:pPr>
              <w:pStyle w:val="null3"/>
            </w:pPr>
            <w:r>
              <w:rPr>
                <w:rFonts w:ascii="仿宋_GB2312" w:hAnsi="仿宋_GB2312" w:cs="仿宋_GB2312" w:eastAsia="仿宋_GB2312"/>
              </w:rPr>
              <w:t xml:space="preserve">             8、陕西省住房和城乡建设厅《关于调整陕西省建设工程计价依据的通知》（陕建发【2019】45号文件）；</w:t>
            </w:r>
          </w:p>
          <w:p>
            <w:pPr>
              <w:pStyle w:val="null3"/>
            </w:pPr>
            <w:r>
              <w:rPr>
                <w:rFonts w:ascii="仿宋_GB2312" w:hAnsi="仿宋_GB2312" w:cs="仿宋_GB2312" w:eastAsia="仿宋_GB2312"/>
              </w:rPr>
              <w:t xml:space="preserve">             9、《关于建筑工人实名制管理计价依据通知》（陕建发【2019】1246号文件）；</w:t>
            </w:r>
          </w:p>
          <w:p>
            <w:pPr>
              <w:pStyle w:val="null3"/>
            </w:pPr>
            <w:r>
              <w:rPr>
                <w:rFonts w:ascii="仿宋_GB2312" w:hAnsi="仿宋_GB2312" w:cs="仿宋_GB2312" w:eastAsia="仿宋_GB2312"/>
              </w:rPr>
              <w:t xml:space="preserve">             10、《关于建筑施工安全生产责任保险费用计价的通知》（陕建发【2020】1097号）；</w:t>
            </w:r>
          </w:p>
          <w:p>
            <w:pPr>
              <w:pStyle w:val="null3"/>
            </w:pPr>
            <w:r>
              <w:rPr>
                <w:rFonts w:ascii="仿宋_GB2312" w:hAnsi="仿宋_GB2312" w:cs="仿宋_GB2312" w:eastAsia="仿宋_GB2312"/>
              </w:rPr>
              <w:t xml:space="preserve">             11、《关于全省统一停止收缴建筑业劳保费用的通知》（陕建发【2021】1021号文件）；</w:t>
            </w:r>
          </w:p>
          <w:p>
            <w:pPr>
              <w:pStyle w:val="null3"/>
            </w:pPr>
            <w:r>
              <w:rPr>
                <w:rFonts w:ascii="仿宋_GB2312" w:hAnsi="仿宋_GB2312" w:cs="仿宋_GB2312" w:eastAsia="仿宋_GB2312"/>
              </w:rPr>
              <w:t xml:space="preserve">             12、《关于调整房屋建设和市政基础设施工程工程量清单计价综合人工单价的通知》（陕建发【2021】1097号文件）；</w:t>
            </w:r>
          </w:p>
          <w:p>
            <w:pPr>
              <w:pStyle w:val="null3"/>
            </w:pPr>
            <w:r>
              <w:rPr>
                <w:rFonts w:ascii="仿宋_GB2312" w:hAnsi="仿宋_GB2312" w:cs="仿宋_GB2312" w:eastAsia="仿宋_GB2312"/>
              </w:rPr>
              <w:t xml:space="preserve">             13、电子版图纸、现行标准图集及其它相关资料；</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工程质量符合国家现行行业施工验收规范“合格”标准。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满足采购人及采购文件要求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2.提供2024年度的财务审计报告(至少包括资产负债表和利润表，成立时间至提交投标文件截止时间不足一年的可提供成立后任意时段的资产负债表)，或其基本存款账户开户银行出具的资信证明及基本存款账户开户许可证(基本存款账户信息);3.提供2025年至今已缴纳的至少一个月的纳税证明或完税证明(任意税种)，依法免税的单位应提供相关证明材料;4.提供2025年至今已缴存的至少一个月的社会保障资金缴存单据或社保机构开具的社会保险参保缴费情况证明，依法不需要缴纳社会保障资金的单位应提供相关证明材料;5.提供具有履行合同所必需的设备和专业技术能力的承诺;6.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 施工组织设计.docx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的财务审计报告(至少包括资产负债表和利润表，成立时间至提交投标文件截止时间不足一年的可提供成立后任意时段的资产负债表)，或其基本存款账户开户银行出具的资信证明及基本存款账户开户许可证(基本存款账户信息);</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信用记录截图</w:t>
            </w:r>
          </w:p>
        </w:tc>
        <w:tc>
          <w:tcPr>
            <w:tcW w:type="dxa" w:w="3322"/>
          </w:tcPr>
          <w:p>
            <w:pPr>
              <w:pStyle w:val="null3"/>
            </w:pPr>
            <w:r>
              <w:rPr>
                <w:rFonts w:ascii="仿宋_GB2312" w:hAnsi="仿宋_GB2312" w:cs="仿宋_GB2312" w:eastAsia="仿宋_GB2312"/>
              </w:rPr>
              <w:t>供应商不得为“信用中国”网站(wnw, creditchina. gov.cn)中列入“失信被执行人”和“重大税收违法失信主体”的供应商，不得为中国政府采购网(wn:cegp:ov:cn)政府采购“严重违法失信行为记录名单”中被财政部门禁止参加政府采购活动的供应商;(信用记录由采购代理机构在资格审查阶段前通过互联网或者相关系统查询，对列入失信被执行人、大税收违法失信主体、政府采购严重违法失信行为记录名单的供应商，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法定代表人(负责人)授权书/法定代表人身份证明</w:t>
            </w:r>
          </w:p>
        </w:tc>
        <w:tc>
          <w:tcPr>
            <w:tcW w:type="dxa" w:w="3322"/>
          </w:tcPr>
          <w:p>
            <w:pPr>
              <w:pStyle w:val="null3"/>
            </w:pPr>
            <w:r>
              <w:rPr>
                <w:rFonts w:ascii="仿宋_GB2312" w:hAnsi="仿宋_GB2312" w:cs="仿宋_GB2312" w:eastAsia="仿宋_GB2312"/>
              </w:rPr>
              <w:t>法定代表人(负责人)授权书(附法定代表人(负责人)、被授权人身份证复印件)及被授权人身份证(法定代表人(负责人)直接参加投标，须提供法定代表人(负责人)身份证明及身份证原件);</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资质等级要求</w:t>
            </w:r>
          </w:p>
        </w:tc>
        <w:tc>
          <w:tcPr>
            <w:tcW w:type="dxa" w:w="3322"/>
          </w:tcPr>
          <w:p>
            <w:pPr>
              <w:pStyle w:val="null3"/>
            </w:pPr>
            <w:r>
              <w:rPr>
                <w:rFonts w:ascii="仿宋_GB2312" w:hAnsi="仿宋_GB2312" w:cs="仿宋_GB2312" w:eastAsia="仿宋_GB2312"/>
              </w:rPr>
              <w:t>供应商须具备建设行政主管部门颁发的建筑工程施工总承包三级及以上(含三级)资质，并具有有效的安全生产许可证。</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拟派项目经理为本单位在册具备建筑工程专业二级及以上注册建造师证书（含二级），并具备安全生产考核合格证书，且无在建工程（提供无在建工程承诺书） 。</w:t>
            </w:r>
          </w:p>
        </w:tc>
        <w:tc>
          <w:tcPr>
            <w:tcW w:type="dxa" w:w="1661"/>
          </w:tcPr>
          <w:p>
            <w:pPr>
              <w:pStyle w:val="null3"/>
            </w:pPr>
            <w:r>
              <w:rPr>
                <w:rFonts w:ascii="仿宋_GB2312" w:hAnsi="仿宋_GB2312" w:cs="仿宋_GB2312" w:eastAsia="仿宋_GB2312"/>
              </w:rPr>
              <w:t>供应商应提交的相关资格证明材料.docx 项目管理机构组成表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响应文件封面 供应商应提交的相关资格证明材料.docx 报价函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 签字齐全并加盖公章</w:t>
            </w:r>
          </w:p>
        </w:tc>
        <w:tc>
          <w:tcPr>
            <w:tcW w:type="dxa" w:w="1661"/>
          </w:tcPr>
          <w:p>
            <w:pPr>
              <w:pStyle w:val="null3"/>
            </w:pPr>
            <w:r>
              <w:rPr>
                <w:rFonts w:ascii="仿宋_GB2312" w:hAnsi="仿宋_GB2312" w:cs="仿宋_GB2312" w:eastAsia="仿宋_GB2312"/>
              </w:rPr>
              <w:t>响应文件封面 供应商应提交的相关资格证明材料.docx 报价函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 供应商应提交的相关资格证明材料.docx 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能有一个有效报价，不得提交选择性报价， 且报价不超过采购预算金额或最高限价</w:t>
            </w:r>
          </w:p>
        </w:tc>
        <w:tc>
          <w:tcPr>
            <w:tcW w:type="dxa" w:w="1661"/>
          </w:tcPr>
          <w:p>
            <w:pPr>
              <w:pStyle w:val="null3"/>
            </w:pPr>
            <w:r>
              <w:rPr>
                <w:rFonts w:ascii="仿宋_GB2312" w:hAnsi="仿宋_GB2312" w:cs="仿宋_GB2312" w:eastAsia="仿宋_GB2312"/>
              </w:rPr>
              <w:t>响应文件封面 供应商应提交的相关资格证明材料.docx 报价函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供应商应提交的相关资格证明材料.docx 报价函 技术服务合同条款及其他商务要求应答表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应满足磋商文件中要求的工期</w:t>
            </w:r>
          </w:p>
        </w:tc>
        <w:tc>
          <w:tcPr>
            <w:tcW w:type="dxa" w:w="1661"/>
          </w:tcPr>
          <w:p>
            <w:pPr>
              <w:pStyle w:val="null3"/>
            </w:pPr>
            <w:r>
              <w:rPr>
                <w:rFonts w:ascii="仿宋_GB2312" w:hAnsi="仿宋_GB2312" w:cs="仿宋_GB2312" w:eastAsia="仿宋_GB2312"/>
              </w:rPr>
              <w:t>响应文件封面 供应商应提交的相关资格证明材料.docx 报价函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 xml:space="preserve"> 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供应商应提交的相关资格证明材料.docx 报价函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是否专门面向中小企业</w:t>
            </w:r>
          </w:p>
        </w:tc>
        <w:tc>
          <w:tcPr>
            <w:tcW w:type="dxa" w:w="3322"/>
          </w:tcPr>
          <w:p>
            <w:pPr>
              <w:pStyle w:val="null3"/>
            </w:pPr>
            <w:r>
              <w:rPr>
                <w:rFonts w:ascii="仿宋_GB2312" w:hAnsi="仿宋_GB2312" w:cs="仿宋_GB2312" w:eastAsia="仿宋_GB2312"/>
              </w:rPr>
              <w:t>本项目专门面向中小企业</w:t>
            </w:r>
          </w:p>
        </w:tc>
        <w:tc>
          <w:tcPr>
            <w:tcW w:type="dxa" w:w="1661"/>
          </w:tcPr>
          <w:p>
            <w:pPr>
              <w:pStyle w:val="null3"/>
            </w:pPr>
            <w:r>
              <w:rPr>
                <w:rFonts w:ascii="仿宋_GB2312" w:hAnsi="仿宋_GB2312" w:cs="仿宋_GB2312" w:eastAsia="仿宋_GB2312"/>
              </w:rPr>
              <w:t>中小企业声明函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针对本项目制定的施工方案、施工准备、工艺规范、对项目理解程度。 ①方案可行性高，专业性强，充分满足采购需求，得8分； ②方案内容一般、基本可行，得5分； ③方案内容较差，得2分；未提供的不得分。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项目经理和项目部组成</w:t>
            </w:r>
          </w:p>
        </w:tc>
        <w:tc>
          <w:tcPr>
            <w:tcW w:type="dxa" w:w="2492"/>
          </w:tcPr>
          <w:p>
            <w:pPr>
              <w:pStyle w:val="null3"/>
            </w:pPr>
            <w:r>
              <w:rPr>
                <w:rFonts w:ascii="仿宋_GB2312" w:hAnsi="仿宋_GB2312" w:cs="仿宋_GB2312" w:eastAsia="仿宋_GB2312"/>
              </w:rPr>
              <w:t>针对本项目安排的项目经理和项目部岗位、专业、分工组。 ①项目经理和项目部组成配置合理、针对性强，与项目需求的吻合程度高，得8分； ② 项目经理和项目部组成综合实力与项目需求的吻合程度一般，得5分； ③项目经理和项目部组成较差，得2分；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针对本项目质量技术组织措施方案，质量保证体系是否完备周全，保障措施及政策建议是否切合实际、协调配套、具有可操作性，内容包含：质量目标管理体系、施工质量的检验制度、确保质量的技术组织措施。 ①质量控制有总目标，质量保障体系措施完善具有可行性、对各阶段的质量进行了准确的目标分解、对质量控制各分解目标有明确的控制点且合理，目标明确且资料清单内容完整，得8分； ②方案较完整，质量保证措施内容明确，可基本保证质量保证需求，得5分； ③方案有明显缺漏项，不能完全保证服务期内质量保证需求，可操作性较差，得2分； 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供应商针对本项目编制完整的确保安全生产的技术组织措施。 ①安全生产管理制度完善、合理充分满足要求，能够加强安全生产教育：内容完整、合理、针对性强，得8分； ②基本满足施工要求，得5分； ③方案较差，得2分；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确保工期的技术组织措施及施工进度计划</w:t>
            </w:r>
          </w:p>
        </w:tc>
        <w:tc>
          <w:tcPr>
            <w:tcW w:type="dxa" w:w="2492"/>
          </w:tcPr>
          <w:p>
            <w:pPr>
              <w:pStyle w:val="null3"/>
            </w:pPr>
            <w:r>
              <w:rPr>
                <w:rFonts w:ascii="仿宋_GB2312" w:hAnsi="仿宋_GB2312" w:cs="仿宋_GB2312" w:eastAsia="仿宋_GB2312"/>
              </w:rPr>
              <w:t>根据供应商针对本项目提供的施工进度计划方案、项目进度安排进行综合评分；内容包含：进度计划施工图、进度计划表、工期保证措施。 ①节点工期控制计划满足工期要求，切合本项目实际情况，详细的工作计划和进度安排，具有时效性。工期控制连贯、清晰合理、节点工期控制计划满足工期要求。提出步骤清晰、合理的方案，得8分； ②方案能够紧贴项目实际情况，内容科学合理且内容可行性、合理性一般，内容较详尽，得5分； ③方案较差计，不贴合项目需求，得2分；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确保文明施工及环境保护的措施</w:t>
            </w:r>
          </w:p>
        </w:tc>
        <w:tc>
          <w:tcPr>
            <w:tcW w:type="dxa" w:w="2492"/>
          </w:tcPr>
          <w:p>
            <w:pPr>
              <w:pStyle w:val="null3"/>
            </w:pPr>
            <w:r>
              <w:rPr>
                <w:rFonts w:ascii="仿宋_GB2312" w:hAnsi="仿宋_GB2312" w:cs="仿宋_GB2312" w:eastAsia="仿宋_GB2312"/>
              </w:rPr>
              <w:t>供应商针对本项目编制完整的文明施工措施，内容包含：文明施工及环境保护管理目标及技术措施、文明施工现场管理、材料管理、扰民措施、环境保护及治污减霾措施。 ①内容完整、合理、针对性强，得6分； 基本满足施工要求，得4分； ③方案较差，得2分；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针对本项目的施工机械配备和材料投入计划。 ①配备齐全、针对性强，得4分； ②配备较差，得2分； 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新技术新产品新工艺新材料的应用</w:t>
            </w:r>
          </w:p>
        </w:tc>
        <w:tc>
          <w:tcPr>
            <w:tcW w:type="dxa" w:w="2492"/>
          </w:tcPr>
          <w:p>
            <w:pPr>
              <w:pStyle w:val="null3"/>
            </w:pPr>
            <w:r>
              <w:rPr>
                <w:rFonts w:ascii="仿宋_GB2312" w:hAnsi="仿宋_GB2312" w:cs="仿宋_GB2312" w:eastAsia="仿宋_GB2312"/>
              </w:rPr>
              <w:t>针对本项目的新技术新产品新工艺新材料的应用。 ①施工工艺技术、技术参数、工艺流程、施工方法详尽、合理、针对性强，得4分； ②施工工艺技术、技术参数、工艺流程、施工方法基本满足施工需求、较为合理、针对性较强，得2分；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结合本项目的实际，供应商应依据国家相关规定对工程质量编制保修方案，工程验收方案、维修措施、保修责任及保修承诺。 ①内容完整、合理、针对性强，得 5分； ②基本满足施工要求，得3分； ③方案较差，得1分；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针对突发事件的应急处理方案，提供相应的预案或保证措施： ①方案内容完整、合理、针对性强，得5分； ②基本满足施工要求，得3分； ③方案较差，得1分；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具有2022年1月1日至今的类似项目业绩合同（以合同签订日期为准），每提供一份得2分，最高得6分。投标响应文件中附有说明其业绩证明材料（业绩以合同为依据）。</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价格分采用综合评分法，即实质性满足磋商文件要求且最终磋商报价最低的为磋商基准价，其价格分为满分30分。其他供应商的价格分按照下列公式计算：磋商报价得分 =(磋商基准价/磋商报价)×30。计算结果最多保留两位小数。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详见附件：施工组织设计.docx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