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FAF44D">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000000"/>
          <w:kern w:val="0"/>
          <w:sz w:val="24"/>
          <w:szCs w:val="24"/>
          <w:lang w:val="en-US" w:eastAsia="zh-CN" w:bidi="ar"/>
        </w:rPr>
      </w:pPr>
    </w:p>
    <w:p w14:paraId="1E41A182">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000000"/>
          <w:kern w:val="0"/>
          <w:sz w:val="24"/>
          <w:szCs w:val="24"/>
          <w:lang w:val="en-US" w:eastAsia="zh-CN" w:bidi="ar"/>
        </w:rPr>
      </w:pPr>
    </w:p>
    <w:p w14:paraId="6F2A640A">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000000"/>
          <w:kern w:val="0"/>
          <w:sz w:val="24"/>
          <w:szCs w:val="24"/>
          <w:lang w:val="en-US" w:eastAsia="zh-CN" w:bidi="ar"/>
        </w:rPr>
      </w:pPr>
    </w:p>
    <w:p w14:paraId="1CD268D8">
      <w:pPr>
        <w:keepNext w:val="0"/>
        <w:keepLines w:val="0"/>
        <w:pageBreakBefore w:val="0"/>
        <w:widowControl/>
        <w:suppressLineNumbers w:val="0"/>
        <w:kinsoku/>
        <w:wordWrap/>
        <w:overflowPunct/>
        <w:topLinePunct w:val="0"/>
        <w:autoSpaceDE/>
        <w:autoSpaceDN/>
        <w:bidi w:val="0"/>
        <w:adjustRightInd/>
        <w:snapToGrid/>
        <w:spacing w:line="360" w:lineRule="auto"/>
        <w:jc w:val="center"/>
        <w:textAlignment w:val="auto"/>
        <w:rPr>
          <w:rFonts w:hint="eastAsia" w:ascii="黑体" w:hAnsi="黑体" w:eastAsia="黑体" w:cs="黑体"/>
          <w:b/>
          <w:bCs/>
          <w:color w:val="000000"/>
          <w:kern w:val="0"/>
          <w:sz w:val="44"/>
          <w:szCs w:val="44"/>
          <w:lang w:val="en-US" w:eastAsia="zh-CN" w:bidi="ar"/>
        </w:rPr>
      </w:pPr>
    </w:p>
    <w:p w14:paraId="048A57B6">
      <w:pPr>
        <w:keepNext w:val="0"/>
        <w:keepLines w:val="0"/>
        <w:pageBreakBefore w:val="0"/>
        <w:widowControl/>
        <w:suppressLineNumbers w:val="0"/>
        <w:kinsoku/>
        <w:wordWrap/>
        <w:overflowPunct/>
        <w:topLinePunct w:val="0"/>
        <w:autoSpaceDE/>
        <w:autoSpaceDN/>
        <w:bidi w:val="0"/>
        <w:adjustRightInd/>
        <w:snapToGrid/>
        <w:spacing w:line="360" w:lineRule="auto"/>
        <w:ind w:firstLine="803" w:firstLineChars="200"/>
        <w:jc w:val="center"/>
        <w:textAlignment w:val="auto"/>
        <w:rPr>
          <w:rFonts w:hint="eastAsia" w:ascii="黑体" w:hAnsi="黑体" w:eastAsia="黑体" w:cs="黑体"/>
          <w:b/>
          <w:bCs/>
          <w:color w:val="000000"/>
          <w:kern w:val="0"/>
          <w:sz w:val="40"/>
          <w:szCs w:val="40"/>
          <w:highlight w:val="none"/>
          <w:lang w:val="en-US" w:eastAsia="zh-CN" w:bidi="ar"/>
        </w:rPr>
      </w:pPr>
      <w:r>
        <w:rPr>
          <w:rFonts w:hint="eastAsia" w:ascii="黑体" w:hAnsi="黑体" w:eastAsia="黑体" w:cs="黑体"/>
          <w:b/>
          <w:bCs/>
          <w:color w:val="000000"/>
          <w:kern w:val="0"/>
          <w:sz w:val="40"/>
          <w:szCs w:val="40"/>
          <w:highlight w:val="none"/>
          <w:lang w:val="en-US" w:eastAsia="zh-CN" w:bidi="ar"/>
        </w:rPr>
        <w:t>阳光馨园社区嵌入式服务设施建设项目</w:t>
      </w:r>
    </w:p>
    <w:p w14:paraId="064961E1">
      <w:pPr>
        <w:keepNext w:val="0"/>
        <w:keepLines w:val="0"/>
        <w:pageBreakBefore w:val="0"/>
        <w:widowControl/>
        <w:suppressLineNumbers w:val="0"/>
        <w:kinsoku/>
        <w:wordWrap/>
        <w:overflowPunct/>
        <w:topLinePunct w:val="0"/>
        <w:autoSpaceDE/>
        <w:autoSpaceDN/>
        <w:bidi w:val="0"/>
        <w:adjustRightInd/>
        <w:snapToGrid/>
        <w:spacing w:line="360" w:lineRule="auto"/>
        <w:ind w:firstLine="883" w:firstLineChars="200"/>
        <w:jc w:val="center"/>
        <w:textAlignment w:val="auto"/>
        <w:rPr>
          <w:rFonts w:hint="eastAsia" w:ascii="黑体" w:hAnsi="黑体" w:eastAsia="黑体" w:cs="黑体"/>
          <w:b/>
          <w:bCs/>
          <w:color w:val="000000"/>
          <w:kern w:val="0"/>
          <w:sz w:val="44"/>
          <w:szCs w:val="44"/>
          <w:lang w:val="en-US" w:eastAsia="zh-CN" w:bidi="ar"/>
        </w:rPr>
      </w:pPr>
    </w:p>
    <w:p w14:paraId="1E8BD0ED">
      <w:pPr>
        <w:keepNext w:val="0"/>
        <w:keepLines w:val="0"/>
        <w:pageBreakBefore w:val="0"/>
        <w:widowControl/>
        <w:suppressLineNumbers w:val="0"/>
        <w:kinsoku/>
        <w:wordWrap/>
        <w:overflowPunct/>
        <w:topLinePunct w:val="0"/>
        <w:autoSpaceDE/>
        <w:autoSpaceDN/>
        <w:bidi w:val="0"/>
        <w:adjustRightInd/>
        <w:snapToGrid/>
        <w:spacing w:line="360" w:lineRule="auto"/>
        <w:ind w:firstLine="883" w:firstLineChars="200"/>
        <w:jc w:val="center"/>
        <w:textAlignment w:val="auto"/>
        <w:rPr>
          <w:rFonts w:hint="eastAsia" w:ascii="黑体" w:hAnsi="黑体" w:eastAsia="黑体" w:cs="黑体"/>
          <w:b/>
          <w:bCs/>
          <w:color w:val="000000"/>
          <w:kern w:val="0"/>
          <w:sz w:val="44"/>
          <w:szCs w:val="44"/>
          <w:lang w:val="en-US" w:eastAsia="zh-CN" w:bidi="ar"/>
        </w:rPr>
      </w:pPr>
    </w:p>
    <w:p w14:paraId="2C6A562A">
      <w:pPr>
        <w:keepNext w:val="0"/>
        <w:keepLines w:val="0"/>
        <w:pageBreakBefore w:val="0"/>
        <w:widowControl/>
        <w:suppressLineNumbers w:val="0"/>
        <w:kinsoku/>
        <w:wordWrap/>
        <w:overflowPunct/>
        <w:topLinePunct w:val="0"/>
        <w:autoSpaceDE/>
        <w:autoSpaceDN/>
        <w:bidi w:val="0"/>
        <w:adjustRightInd/>
        <w:snapToGrid/>
        <w:spacing w:line="360" w:lineRule="auto"/>
        <w:ind w:firstLine="883" w:firstLineChars="200"/>
        <w:jc w:val="center"/>
        <w:textAlignment w:val="auto"/>
        <w:rPr>
          <w:rFonts w:hint="eastAsia" w:ascii="黑体" w:hAnsi="黑体" w:eastAsia="黑体" w:cs="黑体"/>
          <w:b/>
          <w:bCs/>
          <w:color w:val="000000"/>
          <w:kern w:val="0"/>
          <w:sz w:val="44"/>
          <w:szCs w:val="44"/>
          <w:lang w:val="en-US" w:eastAsia="zh-CN" w:bidi="ar"/>
        </w:rPr>
      </w:pPr>
      <w:r>
        <w:rPr>
          <w:rFonts w:hint="eastAsia" w:ascii="黑体" w:hAnsi="黑体" w:eastAsia="黑体" w:cs="黑体"/>
          <w:b/>
          <w:bCs/>
          <w:color w:val="000000"/>
          <w:kern w:val="0"/>
          <w:sz w:val="44"/>
          <w:szCs w:val="44"/>
          <w:lang w:val="en-US" w:eastAsia="zh-CN" w:bidi="ar"/>
        </w:rPr>
        <w:t>（合同示例范本）</w:t>
      </w:r>
    </w:p>
    <w:p w14:paraId="434A86C3">
      <w:pPr>
        <w:keepNext w:val="0"/>
        <w:keepLines w:val="0"/>
        <w:pageBreakBefore w:val="0"/>
        <w:widowControl/>
        <w:suppressLineNumbers w:val="0"/>
        <w:kinsoku/>
        <w:wordWrap/>
        <w:overflowPunct/>
        <w:topLinePunct w:val="0"/>
        <w:autoSpaceDE/>
        <w:autoSpaceDN/>
        <w:bidi w:val="0"/>
        <w:adjustRightInd/>
        <w:snapToGrid/>
        <w:spacing w:line="360" w:lineRule="auto"/>
        <w:ind w:firstLine="883" w:firstLineChars="200"/>
        <w:jc w:val="center"/>
        <w:textAlignment w:val="auto"/>
        <w:rPr>
          <w:rFonts w:hint="eastAsia" w:ascii="黑体" w:hAnsi="黑体" w:eastAsia="黑体" w:cs="黑体"/>
          <w:b/>
          <w:bCs/>
          <w:color w:val="000000"/>
          <w:kern w:val="0"/>
          <w:sz w:val="44"/>
          <w:szCs w:val="44"/>
          <w:lang w:val="en-US" w:eastAsia="zh-CN" w:bidi="ar"/>
        </w:rPr>
      </w:pPr>
    </w:p>
    <w:p w14:paraId="551955ED">
      <w:pPr>
        <w:keepNext w:val="0"/>
        <w:keepLines w:val="0"/>
        <w:pageBreakBefore w:val="0"/>
        <w:widowControl/>
        <w:suppressLineNumbers w:val="0"/>
        <w:kinsoku/>
        <w:wordWrap/>
        <w:overflowPunct/>
        <w:topLinePunct w:val="0"/>
        <w:autoSpaceDE/>
        <w:autoSpaceDN/>
        <w:bidi w:val="0"/>
        <w:adjustRightInd/>
        <w:snapToGrid/>
        <w:spacing w:line="360" w:lineRule="auto"/>
        <w:ind w:firstLine="883" w:firstLineChars="200"/>
        <w:jc w:val="left"/>
        <w:textAlignment w:val="auto"/>
        <w:rPr>
          <w:rFonts w:hint="eastAsia" w:ascii="黑体" w:hAnsi="黑体" w:eastAsia="黑体" w:cs="黑体"/>
          <w:b/>
          <w:bCs/>
          <w:color w:val="000000"/>
          <w:kern w:val="0"/>
          <w:sz w:val="44"/>
          <w:szCs w:val="44"/>
          <w:lang w:val="en-US" w:eastAsia="zh-CN" w:bidi="ar"/>
        </w:rPr>
      </w:pPr>
    </w:p>
    <w:p w14:paraId="39DE8486">
      <w:pPr>
        <w:keepNext w:val="0"/>
        <w:keepLines w:val="0"/>
        <w:pageBreakBefore w:val="0"/>
        <w:widowControl/>
        <w:suppressLineNumbers w:val="0"/>
        <w:kinsoku/>
        <w:wordWrap/>
        <w:overflowPunct/>
        <w:topLinePunct w:val="0"/>
        <w:autoSpaceDE/>
        <w:autoSpaceDN/>
        <w:bidi w:val="0"/>
        <w:adjustRightInd/>
        <w:snapToGrid/>
        <w:spacing w:line="360" w:lineRule="auto"/>
        <w:ind w:firstLine="883" w:firstLineChars="200"/>
        <w:jc w:val="left"/>
        <w:textAlignment w:val="auto"/>
        <w:rPr>
          <w:rFonts w:hint="eastAsia" w:ascii="黑体" w:hAnsi="黑体" w:eastAsia="黑体" w:cs="黑体"/>
          <w:b/>
          <w:bCs/>
          <w:color w:val="000000"/>
          <w:kern w:val="0"/>
          <w:sz w:val="44"/>
          <w:szCs w:val="44"/>
          <w:lang w:val="en-US" w:eastAsia="zh-CN" w:bidi="ar"/>
        </w:rPr>
      </w:pPr>
    </w:p>
    <w:p w14:paraId="16073655">
      <w:pPr>
        <w:keepNext w:val="0"/>
        <w:keepLines w:val="0"/>
        <w:pageBreakBefore w:val="0"/>
        <w:widowControl/>
        <w:suppressLineNumbers w:val="0"/>
        <w:kinsoku/>
        <w:wordWrap/>
        <w:overflowPunct/>
        <w:topLinePunct w:val="0"/>
        <w:autoSpaceDE/>
        <w:autoSpaceDN/>
        <w:bidi w:val="0"/>
        <w:adjustRightInd/>
        <w:snapToGrid/>
        <w:spacing w:line="360" w:lineRule="auto"/>
        <w:ind w:firstLine="883" w:firstLineChars="200"/>
        <w:jc w:val="left"/>
        <w:textAlignment w:val="auto"/>
        <w:rPr>
          <w:rFonts w:hint="eastAsia" w:ascii="黑体" w:hAnsi="黑体" w:eastAsia="黑体" w:cs="黑体"/>
          <w:b/>
          <w:bCs/>
          <w:color w:val="000000"/>
          <w:kern w:val="0"/>
          <w:sz w:val="44"/>
          <w:szCs w:val="44"/>
          <w:lang w:val="en-US" w:eastAsia="zh-CN" w:bidi="ar"/>
        </w:rPr>
      </w:pPr>
    </w:p>
    <w:p w14:paraId="70BE5E24">
      <w:pPr>
        <w:keepNext w:val="0"/>
        <w:keepLines w:val="0"/>
        <w:pageBreakBefore w:val="0"/>
        <w:widowControl/>
        <w:suppressLineNumbers w:val="0"/>
        <w:kinsoku/>
        <w:wordWrap/>
        <w:overflowPunct/>
        <w:topLinePunct w:val="0"/>
        <w:autoSpaceDE/>
        <w:autoSpaceDN/>
        <w:bidi w:val="0"/>
        <w:adjustRightInd/>
        <w:snapToGrid/>
        <w:spacing w:line="360" w:lineRule="auto"/>
        <w:ind w:firstLine="883" w:firstLineChars="200"/>
        <w:jc w:val="left"/>
        <w:textAlignment w:val="auto"/>
        <w:rPr>
          <w:rFonts w:hint="eastAsia" w:ascii="黑体" w:hAnsi="黑体" w:eastAsia="黑体" w:cs="黑体"/>
          <w:b/>
          <w:bCs/>
          <w:color w:val="000000"/>
          <w:kern w:val="0"/>
          <w:sz w:val="44"/>
          <w:szCs w:val="44"/>
          <w:lang w:val="en-US" w:eastAsia="zh-CN" w:bidi="ar"/>
        </w:rPr>
      </w:pPr>
    </w:p>
    <w:p w14:paraId="743B07B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黑体" w:hAnsi="黑体" w:eastAsia="黑体" w:cs="黑体"/>
          <w:b/>
          <w:bCs/>
          <w:color w:val="000000"/>
          <w:kern w:val="0"/>
          <w:sz w:val="44"/>
          <w:szCs w:val="44"/>
          <w:lang w:val="en-US" w:eastAsia="zh-CN" w:bidi="ar"/>
        </w:rPr>
      </w:pPr>
    </w:p>
    <w:p w14:paraId="65BAF93E">
      <w:pPr>
        <w:keepNext w:val="0"/>
        <w:keepLines w:val="0"/>
        <w:pageBreakBefore w:val="0"/>
        <w:widowControl/>
        <w:suppressLineNumbers w:val="0"/>
        <w:kinsoku/>
        <w:wordWrap/>
        <w:overflowPunct/>
        <w:topLinePunct w:val="0"/>
        <w:autoSpaceDE/>
        <w:autoSpaceDN/>
        <w:bidi w:val="0"/>
        <w:adjustRightInd/>
        <w:snapToGrid/>
        <w:spacing w:line="360" w:lineRule="auto"/>
        <w:ind w:firstLine="883" w:firstLineChars="200"/>
        <w:jc w:val="left"/>
        <w:textAlignment w:val="auto"/>
        <w:rPr>
          <w:rFonts w:hint="eastAsia" w:ascii="黑体" w:hAnsi="黑体" w:eastAsia="黑体" w:cs="黑体"/>
          <w:b/>
          <w:bCs/>
          <w:color w:val="000000"/>
          <w:kern w:val="0"/>
          <w:sz w:val="44"/>
          <w:szCs w:val="44"/>
          <w:lang w:val="en-US" w:eastAsia="zh-CN" w:bidi="ar"/>
        </w:rPr>
      </w:pPr>
    </w:p>
    <w:p w14:paraId="15D206DB">
      <w:pPr>
        <w:keepNext w:val="0"/>
        <w:keepLines w:val="0"/>
        <w:pageBreakBefore w:val="0"/>
        <w:widowControl/>
        <w:suppressLineNumbers w:val="0"/>
        <w:kinsoku/>
        <w:wordWrap/>
        <w:overflowPunct/>
        <w:topLinePunct w:val="0"/>
        <w:autoSpaceDE/>
        <w:autoSpaceDN/>
        <w:bidi w:val="0"/>
        <w:adjustRightInd/>
        <w:snapToGrid/>
        <w:spacing w:line="360" w:lineRule="auto"/>
        <w:ind w:firstLine="883" w:firstLineChars="200"/>
        <w:jc w:val="left"/>
        <w:textAlignment w:val="auto"/>
        <w:rPr>
          <w:rFonts w:hint="eastAsia" w:ascii="黑体" w:hAnsi="黑体" w:eastAsia="黑体" w:cs="黑体"/>
          <w:b/>
          <w:bCs/>
          <w:color w:val="000000"/>
          <w:kern w:val="0"/>
          <w:sz w:val="44"/>
          <w:szCs w:val="44"/>
          <w:lang w:val="en-US" w:eastAsia="zh-CN" w:bidi="ar"/>
        </w:rPr>
      </w:pPr>
    </w:p>
    <w:p w14:paraId="6F1F643D">
      <w:pPr>
        <w:keepNext w:val="0"/>
        <w:keepLines w:val="0"/>
        <w:pageBreakBefore w:val="0"/>
        <w:widowControl/>
        <w:suppressLineNumbers w:val="0"/>
        <w:kinsoku/>
        <w:wordWrap/>
        <w:overflowPunct/>
        <w:topLinePunct w:val="0"/>
        <w:autoSpaceDE/>
        <w:autoSpaceDN/>
        <w:bidi w:val="0"/>
        <w:adjustRightInd/>
        <w:snapToGrid/>
        <w:spacing w:line="360" w:lineRule="auto"/>
        <w:ind w:firstLine="562" w:firstLineChars="200"/>
        <w:jc w:val="left"/>
        <w:textAlignment w:val="auto"/>
        <w:rPr>
          <w:rFonts w:hint="eastAsia" w:ascii="黑体" w:hAnsi="黑体" w:eastAsia="黑体" w:cs="黑体"/>
          <w:sz w:val="28"/>
          <w:szCs w:val="28"/>
          <w:u w:val="single"/>
          <w:lang w:val="en-US"/>
        </w:rPr>
      </w:pPr>
      <w:r>
        <w:rPr>
          <w:rFonts w:hint="eastAsia" w:ascii="黑体" w:hAnsi="黑体" w:eastAsia="黑体" w:cs="黑体"/>
          <w:b/>
          <w:bCs/>
          <w:color w:val="000000"/>
          <w:kern w:val="0"/>
          <w:sz w:val="28"/>
          <w:szCs w:val="28"/>
          <w:lang w:val="en-US" w:eastAsia="zh-CN" w:bidi="ar"/>
        </w:rPr>
        <w:t>甲方(采购人)：</w:t>
      </w:r>
      <w:r>
        <w:rPr>
          <w:rFonts w:hint="eastAsia" w:ascii="黑体" w:hAnsi="黑体" w:eastAsia="黑体" w:cs="黑体"/>
          <w:b/>
          <w:bCs/>
          <w:color w:val="000000"/>
          <w:kern w:val="0"/>
          <w:sz w:val="28"/>
          <w:szCs w:val="28"/>
          <w:u w:val="single"/>
          <w:lang w:val="en-US" w:eastAsia="zh-CN" w:bidi="ar"/>
        </w:rPr>
        <w:t xml:space="preserve">                 </w:t>
      </w:r>
    </w:p>
    <w:p w14:paraId="39C74D4B">
      <w:pPr>
        <w:keepNext w:val="0"/>
        <w:keepLines w:val="0"/>
        <w:pageBreakBefore w:val="0"/>
        <w:widowControl/>
        <w:suppressLineNumbers w:val="0"/>
        <w:kinsoku/>
        <w:wordWrap/>
        <w:overflowPunct/>
        <w:topLinePunct w:val="0"/>
        <w:autoSpaceDE/>
        <w:autoSpaceDN/>
        <w:bidi w:val="0"/>
        <w:adjustRightInd/>
        <w:snapToGrid/>
        <w:spacing w:line="360" w:lineRule="auto"/>
        <w:ind w:firstLine="562" w:firstLineChars="200"/>
        <w:jc w:val="left"/>
        <w:textAlignment w:val="auto"/>
        <w:rPr>
          <w:rFonts w:hint="eastAsia" w:ascii="黑体" w:hAnsi="黑体" w:eastAsia="黑体" w:cs="黑体"/>
          <w:sz w:val="28"/>
          <w:szCs w:val="28"/>
          <w:u w:val="single"/>
          <w:lang w:val="en-US"/>
        </w:rPr>
      </w:pPr>
      <w:r>
        <w:rPr>
          <w:rFonts w:hint="eastAsia" w:ascii="黑体" w:hAnsi="黑体" w:eastAsia="黑体" w:cs="黑体"/>
          <w:b/>
          <w:bCs/>
          <w:color w:val="000000"/>
          <w:kern w:val="0"/>
          <w:sz w:val="28"/>
          <w:szCs w:val="28"/>
          <w:lang w:val="en-US" w:eastAsia="zh-CN" w:bidi="ar"/>
        </w:rPr>
        <w:t>乙方(供应商)：</w:t>
      </w:r>
      <w:r>
        <w:rPr>
          <w:rFonts w:hint="eastAsia" w:ascii="黑体" w:hAnsi="黑体" w:eastAsia="黑体" w:cs="黑体"/>
          <w:b/>
          <w:bCs/>
          <w:color w:val="000000"/>
          <w:kern w:val="0"/>
          <w:sz w:val="28"/>
          <w:szCs w:val="28"/>
          <w:u w:val="single"/>
          <w:lang w:val="en-US" w:eastAsia="zh-CN" w:bidi="ar"/>
        </w:rPr>
        <w:t xml:space="preserve">                 </w:t>
      </w:r>
    </w:p>
    <w:p w14:paraId="52001D58">
      <w:pPr>
        <w:keepNext w:val="0"/>
        <w:keepLines w:val="0"/>
        <w:pageBreakBefore w:val="0"/>
        <w:widowControl/>
        <w:suppressLineNumbers w:val="0"/>
        <w:kinsoku/>
        <w:wordWrap/>
        <w:overflowPunct/>
        <w:topLinePunct w:val="0"/>
        <w:autoSpaceDE/>
        <w:autoSpaceDN/>
        <w:bidi w:val="0"/>
        <w:adjustRightInd/>
        <w:snapToGrid/>
        <w:spacing w:line="360" w:lineRule="auto"/>
        <w:ind w:firstLine="562" w:firstLineChars="200"/>
        <w:jc w:val="left"/>
        <w:textAlignment w:val="auto"/>
        <w:rPr>
          <w:rFonts w:hint="eastAsia" w:ascii="黑体" w:hAnsi="黑体" w:eastAsia="黑体" w:cs="黑体"/>
          <w:b/>
          <w:bCs/>
          <w:color w:val="000000"/>
          <w:kern w:val="0"/>
          <w:sz w:val="28"/>
          <w:szCs w:val="28"/>
          <w:lang w:val="en-US" w:eastAsia="zh-CN" w:bidi="ar"/>
        </w:rPr>
      </w:pPr>
      <w:r>
        <w:rPr>
          <w:rFonts w:hint="eastAsia" w:ascii="黑体" w:hAnsi="黑体" w:eastAsia="黑体" w:cs="黑体"/>
          <w:b/>
          <w:bCs/>
          <w:color w:val="000000"/>
          <w:kern w:val="0"/>
          <w:sz w:val="28"/>
          <w:szCs w:val="28"/>
          <w:lang w:val="en-US" w:eastAsia="zh-CN" w:bidi="ar"/>
        </w:rPr>
        <w:t>签订时间：</w:t>
      </w:r>
      <w:r>
        <w:rPr>
          <w:rFonts w:hint="eastAsia" w:ascii="黑体" w:hAnsi="黑体" w:eastAsia="黑体" w:cs="黑体"/>
          <w:b/>
          <w:bCs/>
          <w:color w:val="000000"/>
          <w:kern w:val="0"/>
          <w:sz w:val="28"/>
          <w:szCs w:val="28"/>
          <w:u w:val="single"/>
          <w:lang w:val="en-US" w:eastAsia="zh-CN" w:bidi="ar"/>
        </w:rPr>
        <w:t xml:space="preserve">      </w:t>
      </w:r>
      <w:r>
        <w:rPr>
          <w:rFonts w:hint="eastAsia" w:ascii="黑体" w:hAnsi="黑体" w:eastAsia="黑体" w:cs="黑体"/>
          <w:b/>
          <w:bCs/>
          <w:color w:val="000000"/>
          <w:kern w:val="0"/>
          <w:sz w:val="28"/>
          <w:szCs w:val="28"/>
          <w:lang w:val="en-US" w:eastAsia="zh-CN" w:bidi="ar"/>
        </w:rPr>
        <w:t>年</w:t>
      </w:r>
      <w:r>
        <w:rPr>
          <w:rFonts w:hint="eastAsia" w:ascii="黑体" w:hAnsi="黑体" w:eastAsia="黑体" w:cs="黑体"/>
          <w:b/>
          <w:bCs/>
          <w:color w:val="000000"/>
          <w:kern w:val="0"/>
          <w:sz w:val="28"/>
          <w:szCs w:val="28"/>
          <w:u w:val="single"/>
          <w:lang w:val="en-US" w:eastAsia="zh-CN" w:bidi="ar"/>
        </w:rPr>
        <w:t xml:space="preserve">      </w:t>
      </w:r>
      <w:r>
        <w:rPr>
          <w:rFonts w:hint="eastAsia" w:ascii="黑体" w:hAnsi="黑体" w:eastAsia="黑体" w:cs="黑体"/>
          <w:b/>
          <w:bCs/>
          <w:color w:val="000000"/>
          <w:kern w:val="0"/>
          <w:sz w:val="28"/>
          <w:szCs w:val="28"/>
          <w:lang w:val="en-US" w:eastAsia="zh-CN" w:bidi="ar"/>
        </w:rPr>
        <w:t>月</w:t>
      </w:r>
      <w:r>
        <w:rPr>
          <w:rFonts w:hint="eastAsia" w:ascii="黑体" w:hAnsi="黑体" w:eastAsia="黑体" w:cs="黑体"/>
          <w:b/>
          <w:bCs/>
          <w:color w:val="000000"/>
          <w:kern w:val="0"/>
          <w:sz w:val="28"/>
          <w:szCs w:val="28"/>
          <w:u w:val="single"/>
          <w:lang w:val="en-US" w:eastAsia="zh-CN" w:bidi="ar"/>
        </w:rPr>
        <w:t xml:space="preserve">     </w:t>
      </w:r>
      <w:r>
        <w:rPr>
          <w:rFonts w:hint="eastAsia" w:ascii="黑体" w:hAnsi="黑体" w:eastAsia="黑体" w:cs="黑体"/>
          <w:b/>
          <w:bCs/>
          <w:color w:val="000000"/>
          <w:kern w:val="0"/>
          <w:sz w:val="28"/>
          <w:szCs w:val="28"/>
          <w:lang w:val="en-US" w:eastAsia="zh-CN" w:bidi="ar"/>
        </w:rPr>
        <w:t>日</w:t>
      </w:r>
    </w:p>
    <w:p w14:paraId="39258FD7">
      <w:pPr>
        <w:keepNext w:val="0"/>
        <w:keepLines w:val="0"/>
        <w:pageBreakBefore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br w:type="page"/>
      </w:r>
    </w:p>
    <w:p w14:paraId="20C4144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采购人（以下简称甲方）： </w:t>
      </w:r>
    </w:p>
    <w:p w14:paraId="42EE575E">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供应商（以下简称乙方）： </w:t>
      </w:r>
    </w:p>
    <w:p w14:paraId="221424DC">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根据《中华人民共和国民法典》《中华人民共和国政府采购法》和《中华人民共和国建筑法》及其他有关法律、行政法规，为明确双方在施工过程中的权利、义务，经双方协商自愿签订本合同。</w:t>
      </w:r>
    </w:p>
    <w:p w14:paraId="3805C796">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第一条 工程项目</w:t>
      </w:r>
      <w:r>
        <w:rPr>
          <w:rFonts w:hint="eastAsia" w:ascii="仿宋" w:hAnsi="仿宋" w:eastAsia="仿宋" w:cs="仿宋"/>
          <w:sz w:val="24"/>
          <w:szCs w:val="24"/>
          <w:lang w:val="en-US" w:eastAsia="zh-CN"/>
        </w:rPr>
        <w:t xml:space="preserve"> </w:t>
      </w:r>
    </w:p>
    <w:p w14:paraId="6C4C705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一、项目名称：阳光馨园社区嵌入式服务设施建设项目</w:t>
      </w:r>
    </w:p>
    <w:p w14:paraId="440C9D3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二、项目地点：</w:t>
      </w:r>
      <w:r>
        <w:rPr>
          <w:rFonts w:hint="eastAsia" w:ascii="仿宋" w:hAnsi="仿宋" w:eastAsia="仿宋" w:cs="仿宋"/>
          <w:sz w:val="24"/>
          <w:szCs w:val="24"/>
          <w:highlight w:val="none"/>
          <w:lang w:val="en-US" w:eastAsia="zh-CN"/>
        </w:rPr>
        <w:t xml:space="preserve">甲方指定地点 </w:t>
      </w:r>
    </w:p>
    <w:p w14:paraId="241B6745">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工程内容：阳光馨园社区三层办公用房装修改造工程,室内面积754㎡，室外面积251.23㎡，层高4.5m,位于西安经济技术开发区泾渭工业园,本次设计配合精装修区域局部修改。主要涉及项目为阳光馨园社区三层办公用房图纸范围内的装饰工程、电气工程、给排水工程、通风工程、室外铺装工程、室外电气工程、家具工程、儿童游乐设施、厨房设备工程。</w:t>
      </w:r>
    </w:p>
    <w:p w14:paraId="0D1B7F22">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第二条 施工依据</w:t>
      </w:r>
      <w:r>
        <w:rPr>
          <w:rFonts w:hint="eastAsia" w:ascii="仿宋" w:hAnsi="仿宋" w:eastAsia="仿宋" w:cs="仿宋"/>
          <w:sz w:val="24"/>
          <w:szCs w:val="24"/>
          <w:lang w:val="en-US" w:eastAsia="zh-CN"/>
        </w:rPr>
        <w:t xml:space="preserve"> </w:t>
      </w:r>
    </w:p>
    <w:p w14:paraId="7BFB335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一、施工合同； </w:t>
      </w:r>
    </w:p>
    <w:p w14:paraId="1DD6168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二、成交通知书； </w:t>
      </w:r>
    </w:p>
    <w:p w14:paraId="7E64717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三、响应文件及其附件； </w:t>
      </w:r>
    </w:p>
    <w:p w14:paraId="3D6BF01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四、标准、规范及有关技术文件； </w:t>
      </w:r>
    </w:p>
    <w:p w14:paraId="08D68B4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五、工程量清单； </w:t>
      </w:r>
    </w:p>
    <w:p w14:paraId="35CACCE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六、工程报价单；</w:t>
      </w:r>
    </w:p>
    <w:p w14:paraId="5865FB1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七、设计图纸；</w:t>
      </w:r>
    </w:p>
    <w:p w14:paraId="5A993C7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八、双方有关工程的洽商、变更等书面协议或文件视为施工合同的组成部分。 </w:t>
      </w:r>
    </w:p>
    <w:p w14:paraId="6172357D">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 xml:space="preserve">第三条 工程期限 </w:t>
      </w:r>
    </w:p>
    <w:p w14:paraId="409058D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一、工期：</w:t>
      </w:r>
      <w:r>
        <w:rPr>
          <w:rFonts w:hint="eastAsia" w:ascii="仿宋" w:hAnsi="仿宋" w:eastAsia="仿宋" w:cs="仿宋"/>
          <w:sz w:val="24"/>
          <w:szCs w:val="24"/>
          <w:highlight w:val="none"/>
          <w:lang w:val="en-US" w:eastAsia="zh-CN"/>
        </w:rPr>
        <w:t>60天。</w:t>
      </w:r>
      <w:r>
        <w:rPr>
          <w:rFonts w:hint="eastAsia" w:ascii="仿宋" w:hAnsi="仿宋" w:eastAsia="仿宋" w:cs="仿宋"/>
          <w:sz w:val="24"/>
          <w:szCs w:val="24"/>
          <w:lang w:val="en-US" w:eastAsia="zh-CN"/>
        </w:rPr>
        <w:t xml:space="preserve"> </w:t>
      </w:r>
    </w:p>
    <w:p w14:paraId="0AB678BC">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二、如遇下列情况，经甲方现场代表签证后，工期可相应顺延（顺延工期应由甲、乙双方共同签字确认） </w:t>
      </w:r>
    </w:p>
    <w:p w14:paraId="496A559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1、在施工中如因停电、停水8小时以上或连续间歇性停水、停电3天以上（每次连续４小时以上），影响正常施工；停水停电2天以上； </w:t>
      </w:r>
    </w:p>
    <w:p w14:paraId="695D10C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2、不可抗力因素以及非中标人施工因素影响； </w:t>
      </w:r>
    </w:p>
    <w:p w14:paraId="67F0FE4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3、因人力不可抗拒的其他因素而延误工期。 </w:t>
      </w:r>
    </w:p>
    <w:p w14:paraId="65A25EA2">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第四条 合同价款及付款方式</w:t>
      </w:r>
      <w:r>
        <w:rPr>
          <w:rFonts w:hint="eastAsia" w:ascii="仿宋" w:hAnsi="仿宋" w:eastAsia="仿宋" w:cs="仿宋"/>
          <w:sz w:val="24"/>
          <w:szCs w:val="24"/>
          <w:lang w:val="en-US" w:eastAsia="zh-CN"/>
        </w:rPr>
        <w:t xml:space="preserve"> </w:t>
      </w:r>
    </w:p>
    <w:p w14:paraId="17A755A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1、合同总价：大写人民币____________元； 小写¥___________元；工程量清单报价表详见附件。 </w:t>
      </w:r>
    </w:p>
    <w:p w14:paraId="5911C8C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2、合同价款支付方式：</w:t>
      </w:r>
    </w:p>
    <w:p w14:paraId="10DCDB7C">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（1）工程总体完工后 ，达到付款条件起 60 日内，支付合同总金额的75%。</w:t>
      </w:r>
    </w:p>
    <w:p w14:paraId="0E77FA2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（2）验收合格后 ，达到付款条件起 60 日内，支付合同总金额的 22%。</w:t>
      </w:r>
    </w:p>
    <w:p w14:paraId="72F373F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（3）待质保期满后无质里问题后 ，达到付款条件起 60 日内，支付合同总金额的 3%。</w:t>
      </w:r>
    </w:p>
    <w:p w14:paraId="6385ECD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付款依据：合同、竞争性磋商文件、竞争性磋商响应文件、工程量确认单、供应商提供的等额发票、甲方出具的验收报告。 </w:t>
      </w:r>
    </w:p>
    <w:p w14:paraId="04B4EAA3">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 xml:space="preserve">第五条 建筑材料、设备的供应和采购 </w:t>
      </w:r>
    </w:p>
    <w:p w14:paraId="37DD011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一、工程材料、设备由乙方采购。 </w:t>
      </w:r>
    </w:p>
    <w:p w14:paraId="3931E0D4">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二、乙方采购的材料、设备，必须附有产品合格证和试验报告才能用于工程，甲方认为乙方提供的材料需要复验的，乙方应按要求提供复验报告。经复验符合质量要求的，方可用于工程；复验不符合质量要求的，应退货处理，其复验费和 退货损失由乙方承担。  </w:t>
      </w:r>
    </w:p>
    <w:p w14:paraId="20F8BC62">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第六条 拟派人员</w:t>
      </w:r>
      <w:r>
        <w:rPr>
          <w:rFonts w:hint="eastAsia" w:ascii="仿宋" w:hAnsi="仿宋" w:eastAsia="仿宋" w:cs="仿宋"/>
          <w:sz w:val="24"/>
          <w:szCs w:val="24"/>
          <w:lang w:val="en-US" w:eastAsia="zh-CN"/>
        </w:rPr>
        <w:t xml:space="preserve"> </w:t>
      </w:r>
    </w:p>
    <w:p w14:paraId="153468ED">
      <w:pPr>
        <w:keepNext w:val="0"/>
        <w:keepLines w:val="0"/>
        <w:pageBreakBefore w:val="0"/>
        <w:kinsoku/>
        <w:wordWrap/>
        <w:overflowPunct/>
        <w:topLinePunct w:val="0"/>
        <w:autoSpaceDE/>
        <w:autoSpaceDN/>
        <w:bidi w:val="0"/>
        <w:adjustRightInd/>
        <w:snapToGrid/>
        <w:spacing w:line="360" w:lineRule="auto"/>
        <w:ind w:firstLine="720" w:firstLineChars="3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本项目拟派</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为项目经理，证书编号：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联系电话：</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，身份证号：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 xml:space="preserve">； </w:t>
      </w:r>
    </w:p>
    <w:p w14:paraId="7F05BC24">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一、工程具备隐蔽条件，乙方先进行自检，并在验收前 48小时以书面形式通知甲方验收。验收合格，甲方代表在验收记录上签字后，乙方可继续施工。验收不合格，乙方予以整改后再交由甲方重新验收。</w:t>
      </w:r>
    </w:p>
    <w:p w14:paraId="08598525">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二、工程具备竣工验收条件，乙方按国家工程竣工验收有关规定，向甲方提供完整竣工资料及竣工验收报告，甲方组织乙方及相关单位完成竣工验收。</w:t>
      </w:r>
    </w:p>
    <w:p w14:paraId="1A09EAC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三、符合磋商文件和国家及行业规定的建筑工程质量检验评定“合格”标准。</w:t>
      </w:r>
    </w:p>
    <w:p w14:paraId="5C53D86F">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 xml:space="preserve">第七条 工程质量管理及验收 </w:t>
      </w:r>
    </w:p>
    <w:p w14:paraId="1CC819D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1、工程质量标准、规范 </w:t>
      </w:r>
    </w:p>
    <w:p w14:paraId="40840D8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执行国家、省、市现行的相关规定及标准文件。具体技术要求包括但不限于以下规定、标准、规范：《中华人民共和国安全生产法》中华人民共和国主席令第十三号、《建设工程质量管理条例》中华人民共和国国务院令第 279 号)、《建设工程安全生产管理条例》中华人民共和国国务院令第 393 号、《中华人民共和国建筑法》全国人民代表大会常务委员会第二十八次会议</w:t>
      </w:r>
    </w:p>
    <w:p w14:paraId="00D32F0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以上规范、标准如遇调整或最新规范时，以调整后或最新规范内容为准。</w:t>
      </w:r>
    </w:p>
    <w:p w14:paraId="3F1F630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2、验收： </w:t>
      </w:r>
    </w:p>
    <w:p w14:paraId="284C60C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（1）本工程应按要求完成工程全部内容。 </w:t>
      </w:r>
    </w:p>
    <w:p w14:paraId="7B78A14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（2）本工程验收标准应符合国家相关工程管理规定及行业标准要求。 </w:t>
      </w:r>
    </w:p>
    <w:p w14:paraId="7ECF7F7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（3）乙方提出验收申请，甲方及时组织验收，验收合格后出具验收报告。 </w:t>
      </w:r>
    </w:p>
    <w:p w14:paraId="736B3652">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 xml:space="preserve">第八条 安全施工 </w:t>
      </w:r>
    </w:p>
    <w:p w14:paraId="3DD2806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乙方应遵守工程建设安全生产有关管理规定，严格按安全标准组织施工，采取必要的安全防护措施，消除事故隐患。由于乙方安全措施不力造成事故的责任和因此发生的费用，由乙方承担，与甲方无关。</w:t>
      </w:r>
    </w:p>
    <w:p w14:paraId="34A24C1B">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第九条 质量保修</w:t>
      </w:r>
      <w:r>
        <w:rPr>
          <w:rFonts w:hint="eastAsia" w:ascii="仿宋" w:hAnsi="仿宋" w:eastAsia="仿宋" w:cs="仿宋"/>
          <w:sz w:val="24"/>
          <w:szCs w:val="24"/>
          <w:lang w:val="en-US" w:eastAsia="zh-CN"/>
        </w:rPr>
        <w:t xml:space="preserve"> </w:t>
      </w:r>
    </w:p>
    <w:p w14:paraId="79C6D16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一、本工程质保期自工程竣工验收合</w:t>
      </w:r>
      <w:bookmarkStart w:id="0" w:name="_GoBack"/>
      <w:bookmarkEnd w:id="0"/>
      <w:r>
        <w:rPr>
          <w:rFonts w:hint="eastAsia" w:ascii="仿宋" w:hAnsi="仿宋" w:eastAsia="仿宋" w:cs="仿宋"/>
          <w:sz w:val="24"/>
          <w:szCs w:val="24"/>
          <w:lang w:val="en-US" w:eastAsia="zh-CN"/>
        </w:rPr>
        <w:t>格起算。</w:t>
      </w:r>
    </w:p>
    <w:p w14:paraId="7AC1CFB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lang w:val="en-US" w:eastAsia="zh-CN"/>
        </w:rPr>
        <w:t>二、工程质保</w:t>
      </w:r>
      <w:r>
        <w:rPr>
          <w:rFonts w:hint="eastAsia" w:ascii="仿宋" w:hAnsi="仿宋" w:eastAsia="仿宋" w:cs="仿宋"/>
          <w:sz w:val="24"/>
          <w:szCs w:val="24"/>
          <w:highlight w:val="none"/>
          <w:lang w:val="en-US" w:eastAsia="zh-CN"/>
        </w:rPr>
        <w:t>期：1年</w:t>
      </w:r>
    </w:p>
    <w:p w14:paraId="0D5AC1F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在质保期内因质量问题伤人及伤物等问题由乙方负责维修并承担相关责任及费用；</w:t>
      </w:r>
    </w:p>
    <w:p w14:paraId="41B6813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三、在免费保修期内，乙方应保证通信畅通，令甲方能够随时同乙方取得联系。乙方在接到甲方维修通知后 24 小时内到达现场并及时处理。如乙方更换保 修人员或联系电话，应及时通知甲方。若因乙方通讯不畅或故意不接，拖延推诿， </w:t>
      </w:r>
    </w:p>
    <w:p w14:paraId="7C7E19D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甲方将视为乙方放弃保修责任，有权自行解决，由乙方承担所有费用并加收 3% 的劳务费。 乙方保修联系电话：</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；乙方保修联系人：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w:t>
      </w:r>
    </w:p>
    <w:p w14:paraId="6A7FDF0A">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b/>
          <w:bCs/>
          <w:sz w:val="24"/>
          <w:szCs w:val="24"/>
          <w:lang w:val="en-US" w:eastAsia="zh-CN"/>
        </w:rPr>
        <w:t>第十条 双方的权利和义务</w:t>
      </w:r>
      <w:r>
        <w:rPr>
          <w:rFonts w:hint="eastAsia" w:ascii="仿宋" w:hAnsi="仿宋" w:eastAsia="仿宋" w:cs="仿宋"/>
          <w:sz w:val="24"/>
          <w:szCs w:val="24"/>
          <w:lang w:val="en-US" w:eastAsia="zh-CN"/>
        </w:rPr>
        <w:t xml:space="preserve"> </w:t>
      </w:r>
    </w:p>
    <w:p w14:paraId="179EFAB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一、甲方的权利与义务 </w:t>
      </w:r>
    </w:p>
    <w:p w14:paraId="1C42361C">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1）协助提供施工所需水、电、但具体费用由乙方承担； </w:t>
      </w:r>
    </w:p>
    <w:p w14:paraId="1F6799C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2）协调处理施工现场地下管线的改造，绿化挖移； </w:t>
      </w:r>
    </w:p>
    <w:p w14:paraId="408165C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3）协助违法建筑的水、电源、为乙方创造必要的施工条件； </w:t>
      </w:r>
    </w:p>
    <w:p w14:paraId="167642F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4）按照安全文明施工的规定，督促乙方落实安全施工、文明施工措施； </w:t>
      </w:r>
    </w:p>
    <w:p w14:paraId="0E2702B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5）对施工工作提出指导性建议或意见、监督、检查，促使施工顺利进行； </w:t>
      </w:r>
    </w:p>
    <w:p w14:paraId="323F1F2E">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6）负责组织相关力量对本工程工作进行验收； </w:t>
      </w:r>
    </w:p>
    <w:p w14:paraId="6683DFF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7）做好公安、城管、工商等相关部门的协调工作，保证施工顺利进行； </w:t>
      </w:r>
    </w:p>
    <w:p w14:paraId="06E460AB">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8）按约定支付工程款并索取相应的发票； </w:t>
      </w:r>
    </w:p>
    <w:p w14:paraId="4ABCA56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9）根据工程范围内工作的具体要求，安排乙方完成与上述工作有关的临时性任务。 </w:t>
      </w:r>
    </w:p>
    <w:p w14:paraId="051F8FD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二、乙方的权利与义务 </w:t>
      </w:r>
    </w:p>
    <w:p w14:paraId="3601D9F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1）乙方应设置实施过程中必要的办公场所，并保证所有参与上述工作的人员必须统一着装，佩挂“工作人员”胸牌； </w:t>
      </w:r>
    </w:p>
    <w:p w14:paraId="7B9EAD84">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2）每日向甲方提供进度计划，统计报表和工程事故报告，遵守有关部门对施工场地、交通、噪声等的管理规定； </w:t>
      </w:r>
    </w:p>
    <w:p w14:paraId="1510BA2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3）保证施工现场清洁，负责人行道路维护工作； </w:t>
      </w:r>
    </w:p>
    <w:p w14:paraId="7D054034">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4）按照国家及省市政策、法规及甲方确认的施工组织设计或施工方案进行文明动员、文明拆除、文明清运； </w:t>
      </w:r>
    </w:p>
    <w:p w14:paraId="414B0B2C">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5）遵守安全防护和文明施工的规定，建立健全安全防护和文明施工的制度，设专职安全员，负责维护施工现场安全，做到安全文明施工等；</w:t>
      </w:r>
    </w:p>
    <w:p w14:paraId="76E7FB7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6）完善安全防护和文明施工条件，施工机械、设备须附检验报告,严格按照安全防护和文明施工的规定组织施工，采取必要的安全防护措施，消除安全事故隐患； </w:t>
      </w:r>
    </w:p>
    <w:p w14:paraId="66FB6A2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7)在工程实施期间，乙方应做好施工现场的安全警示标志、安全通道的合理布置、材料与设备的存放与保管、消防设施的安全有效、施工现场的照明与防护 以及政府有关部门关于安全防护、文明施工规定的其他工作； </w:t>
      </w:r>
    </w:p>
    <w:p w14:paraId="50194BF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8）按约定收取工程款并出具相应的发票；</w:t>
      </w:r>
    </w:p>
    <w:p w14:paraId="3354B5F6">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9）工作人员应服从甲方的领导、监督和管理，遵守工作制度和纪律，依法完成工作内容；</w:t>
      </w:r>
    </w:p>
    <w:p w14:paraId="242057B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10）项目实施中发生的各种安全事故或人员伤亡和各类纠纷等问题，造成的责任、费用等由乙方完全承担；</w:t>
      </w:r>
    </w:p>
    <w:p w14:paraId="289B3B6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11）指派专职项目经理负责联系和处理工作的有关事项，参加协调会，协调合同执行过程中遇到的问题，并配备专职安全员每日巡视现场，安全员必须持证上岗； </w:t>
      </w:r>
    </w:p>
    <w:p w14:paraId="7CA01C2A">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12）乙方应严格执行市建尘治发〔2017〕3号文，西安市建设工地扬尘污染防治专项工作组关于印发西安市建设工地和两类企业扬尘污染防治措施的通知，扬尘污染防治应达到文件要求的达到 6 个百分百，7 个到位。如不能达到相关标准则甲方付款时将对相应的相关费用予以扣除； </w:t>
      </w:r>
    </w:p>
    <w:p w14:paraId="384698FD">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13）乙方应按时发放农民工工资，甲方有权监督乙方在支付当期进度款中发放农民工工资。如乙方未按时发放农民工工资，影响到本工程的质量和进度，甲方有权从未支付款项中按乙方所拟的工资额度直接发放农民工的工资，并按发放金额的50%从乙方的未支付款项中扣除予以处罚； </w:t>
      </w:r>
    </w:p>
    <w:p w14:paraId="7DD814A0">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14)及时向甲方以书面形式汇报工程量及安全情况； </w:t>
      </w:r>
    </w:p>
    <w:p w14:paraId="47EADFC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15）完成甲方交办的与工程范围内有关的其他临时性工作。 </w:t>
      </w:r>
    </w:p>
    <w:p w14:paraId="637D6B4C">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 xml:space="preserve">第十一条 违约责任 </w:t>
      </w:r>
    </w:p>
    <w:p w14:paraId="60DE78C5">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1、乙方未能按时竣工的，每延期一日应按总价款的 3‰/天向甲方支付违约金（甲方有权从未支付款项中扣除）；无故延期 15 日以上视为根本性违约， 甲方有权解除本合同，乙方除应全额退还甲方已支付的工程款外，还应向甲方支付违约金。</w:t>
      </w:r>
    </w:p>
    <w:p w14:paraId="771AB441">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2、工程出现质量问题视为乙方严重违约，视情节轻重乙方应按工程款的10%～30%向甲方支付违约金（甲方有权从未支付款项中扣除），此外应赔偿因此给甲方造成的损失。 </w:t>
      </w:r>
    </w:p>
    <w:p w14:paraId="2A6530C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3、乙方擅自解除或终止本合同的，乙方应按合同总价的 20%向甲方支付违约金。 </w:t>
      </w:r>
    </w:p>
    <w:p w14:paraId="5C339E54">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 xml:space="preserve">第十二条 不可抗力 </w:t>
      </w:r>
    </w:p>
    <w:p w14:paraId="2708E644">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甲乙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 </w:t>
      </w:r>
    </w:p>
    <w:p w14:paraId="493AF2DF">
      <w:pPr>
        <w:keepNext w:val="0"/>
        <w:keepLines w:val="0"/>
        <w:pageBreakBefore w:val="0"/>
        <w:kinsoku/>
        <w:wordWrap/>
        <w:overflowPunct/>
        <w:topLinePunct w:val="0"/>
        <w:autoSpaceDE/>
        <w:autoSpaceDN/>
        <w:bidi w:val="0"/>
        <w:adjustRightInd/>
        <w:snapToGrid/>
        <w:spacing w:line="360" w:lineRule="auto"/>
        <w:ind w:firstLine="482" w:firstLineChars="200"/>
        <w:jc w:val="left"/>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 xml:space="preserve">第十三条 纠纷解决办法 </w:t>
      </w:r>
    </w:p>
    <w:p w14:paraId="720853B7">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因本合同产生纠纷，如协商无法解决，双方均有权向甲方所在地人民法院提起诉讼。</w:t>
      </w:r>
    </w:p>
    <w:p w14:paraId="5E6CE2F3">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p>
    <w:p w14:paraId="20B3E258">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本合同一式陆份，甲乙双方各执两份，采购代理机构两份，自双方代表签字，加盖双方公章或合同专用章后生效。</w:t>
      </w:r>
    </w:p>
    <w:p w14:paraId="28EF3A2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p>
    <w:p w14:paraId="16BB24E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采购人：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（公章）    供应商：</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（公章） </w:t>
      </w:r>
    </w:p>
    <w:p w14:paraId="772915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地 址：</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 xml:space="preserve">    </w:t>
      </w:r>
      <w:r>
        <w:rPr>
          <w:rFonts w:hint="eastAsia" w:ascii="仿宋" w:hAnsi="仿宋" w:eastAsia="仿宋" w:cs="仿宋"/>
          <w:sz w:val="24"/>
          <w:szCs w:val="24"/>
          <w:lang w:val="en-US" w:eastAsia="zh-CN"/>
        </w:rPr>
        <w:t>地 址：</w:t>
      </w:r>
      <w:r>
        <w:rPr>
          <w:rFonts w:hint="eastAsia" w:ascii="仿宋" w:hAnsi="仿宋" w:eastAsia="仿宋" w:cs="仿宋"/>
          <w:sz w:val="24"/>
          <w:szCs w:val="24"/>
          <w:u w:val="single"/>
          <w:lang w:val="en-US" w:eastAsia="zh-CN"/>
        </w:rPr>
        <w:t xml:space="preserve">              </w:t>
      </w:r>
    </w:p>
    <w:p w14:paraId="3D8039C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邮政编码：</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邮政编码：</w:t>
      </w:r>
      <w:r>
        <w:rPr>
          <w:rFonts w:hint="eastAsia" w:ascii="仿宋" w:hAnsi="仿宋" w:eastAsia="仿宋" w:cs="仿宋"/>
          <w:sz w:val="24"/>
          <w:szCs w:val="24"/>
          <w:u w:val="single"/>
          <w:lang w:val="en-US" w:eastAsia="zh-CN"/>
        </w:rPr>
        <w:t xml:space="preserve">           </w:t>
      </w:r>
    </w:p>
    <w:p w14:paraId="35A1FF1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法定代表人：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法定代表人：</w:t>
      </w:r>
      <w:r>
        <w:rPr>
          <w:rFonts w:hint="eastAsia" w:ascii="仿宋" w:hAnsi="仿宋" w:eastAsia="仿宋" w:cs="仿宋"/>
          <w:sz w:val="24"/>
          <w:szCs w:val="24"/>
          <w:u w:val="single"/>
          <w:lang w:val="en-US" w:eastAsia="zh-CN"/>
        </w:rPr>
        <w:t xml:space="preserve">         </w:t>
      </w:r>
    </w:p>
    <w:p w14:paraId="404B68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委托代理人：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委托代理人：</w:t>
      </w:r>
      <w:r>
        <w:rPr>
          <w:rFonts w:hint="eastAsia" w:ascii="仿宋" w:hAnsi="仿宋" w:eastAsia="仿宋" w:cs="仿宋"/>
          <w:sz w:val="24"/>
          <w:szCs w:val="24"/>
          <w:u w:val="single"/>
          <w:lang w:val="en-US" w:eastAsia="zh-CN"/>
        </w:rPr>
        <w:t xml:space="preserve">         </w:t>
      </w:r>
    </w:p>
    <w:p w14:paraId="30BD95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电 话：</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电 话：</w:t>
      </w:r>
      <w:r>
        <w:rPr>
          <w:rFonts w:hint="eastAsia" w:ascii="仿宋" w:hAnsi="仿宋" w:eastAsia="仿宋" w:cs="仿宋"/>
          <w:sz w:val="24"/>
          <w:szCs w:val="24"/>
          <w:u w:val="single"/>
          <w:lang w:val="en-US" w:eastAsia="zh-CN"/>
        </w:rPr>
        <w:t xml:space="preserve">             </w:t>
      </w:r>
    </w:p>
    <w:p w14:paraId="417718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传 真：</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传 真：</w:t>
      </w:r>
      <w:r>
        <w:rPr>
          <w:rFonts w:hint="eastAsia" w:ascii="仿宋" w:hAnsi="仿宋" w:eastAsia="仿宋" w:cs="仿宋"/>
          <w:sz w:val="24"/>
          <w:szCs w:val="24"/>
          <w:u w:val="single"/>
          <w:lang w:val="en-US" w:eastAsia="zh-CN"/>
        </w:rPr>
        <w:t xml:space="preserve">              </w:t>
      </w:r>
    </w:p>
    <w:p w14:paraId="287471E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开户银行：</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开户银行：</w:t>
      </w:r>
      <w:r>
        <w:rPr>
          <w:rFonts w:hint="eastAsia" w:ascii="仿宋" w:hAnsi="仿宋" w:eastAsia="仿宋" w:cs="仿宋"/>
          <w:sz w:val="24"/>
          <w:szCs w:val="24"/>
          <w:u w:val="single"/>
          <w:lang w:val="en-US" w:eastAsia="zh-CN"/>
        </w:rPr>
        <w:t xml:space="preserve">           </w:t>
      </w:r>
    </w:p>
    <w:p w14:paraId="7DF13C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u w:val="single"/>
          <w:lang w:val="en-US" w:eastAsia="zh-CN"/>
        </w:rPr>
      </w:pPr>
      <w:r>
        <w:rPr>
          <w:rFonts w:hint="eastAsia" w:ascii="仿宋" w:hAnsi="仿宋" w:eastAsia="仿宋" w:cs="仿宋"/>
          <w:sz w:val="24"/>
          <w:szCs w:val="24"/>
          <w:lang w:val="en-US" w:eastAsia="zh-CN"/>
        </w:rPr>
        <w:t>账 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账 号：</w:t>
      </w:r>
      <w:r>
        <w:rPr>
          <w:rFonts w:hint="eastAsia" w:ascii="仿宋" w:hAnsi="仿宋" w:eastAsia="仿宋" w:cs="仿宋"/>
          <w:sz w:val="24"/>
          <w:szCs w:val="24"/>
          <w:u w:val="single"/>
          <w:lang w:val="en-US" w:eastAsia="zh-CN"/>
        </w:rPr>
        <w:t xml:space="preserve">              </w:t>
      </w:r>
    </w:p>
    <w:p w14:paraId="041BC26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附件：工程量清单报价表 </w:t>
      </w:r>
    </w:p>
    <w:p w14:paraId="40FF6919">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2NTAwMmZhOGY3YjFmM2JhNTVlZjJiNTk5MTBjMzEifQ=="/>
  </w:docVars>
  <w:rsids>
    <w:rsidRoot w:val="548304CA"/>
    <w:rsid w:val="510C29CE"/>
    <w:rsid w:val="548304CA"/>
    <w:rsid w:val="57EC2F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3529</Words>
  <Characters>3598</Characters>
  <Lines>0</Lines>
  <Paragraphs>0</Paragraphs>
  <TotalTime>6</TotalTime>
  <ScaleCrop>false</ScaleCrop>
  <LinksUpToDate>false</LinksUpToDate>
  <CharactersWithSpaces>4067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2024-12-28T07:44:00Z</dcterms:created>
  <dc:creator>Nuyoah</dc:creator>
  <cp:lastModifiedBy>Fluoxetine </cp:lastModifiedBy>
  <dcterms:modified xsi:type="dcterms:W3CDTF">2025-05-27T08:06:49Z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0F2EED19B9874DB397FE93C9EA70E79D_11</vt:lpwstr>
  </property>
  <property fmtid="{D5CDD505-2E9C-101B-9397-08002B2CF9AE}" pid="4" name="KSOTemplateDocerSaveRecord">
    <vt:lpwstr>eyJoZGlkIjoiOGVmYWUzNzhiNmQ4YzcyNzM0YmE4MGEzMjY3OThlYTAiLCJ1c2VySWQiOiI2NDAxMzMwMTAifQ==</vt:lpwstr>
  </property>
</Properties>
</file>