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BE4A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 xml:space="preserve">第八章 </w:t>
      </w:r>
      <w:bookmarkStart w:id="0" w:name="_GoBack"/>
      <w:r>
        <w:rPr>
          <w:rFonts w:hint="eastAsia" w:ascii="仿宋" w:hAnsi="仿宋" w:eastAsia="仿宋" w:cs="仿宋"/>
          <w:b/>
          <w:bCs/>
          <w:snapToGrid w:val="0"/>
          <w:color w:val="000000"/>
          <w:spacing w:val="0"/>
          <w:kern w:val="0"/>
          <w:position w:val="0"/>
          <w:sz w:val="24"/>
          <w:szCs w:val="24"/>
          <w:highlight w:val="none"/>
          <w:lang w:val="en-US" w:eastAsia="zh-CN" w:bidi="ar-SA"/>
        </w:rPr>
        <w:t>拟签订采购合同文本</w:t>
      </w:r>
      <w:bookmarkEnd w:id="0"/>
    </w:p>
    <w:p w14:paraId="7D9581D6">
      <w:pPr>
        <w:pStyle w:val="2"/>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pacing w:val="0"/>
          <w:position w:val="0"/>
          <w:sz w:val="24"/>
          <w:szCs w:val="24"/>
        </w:rPr>
      </w:pPr>
    </w:p>
    <w:p w14:paraId="2B9D7E3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24295733">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政 府 采 购 合 同</w:t>
      </w:r>
    </w:p>
    <w:p w14:paraId="34ACF3A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41067C8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合同编号：</w:t>
      </w:r>
    </w:p>
    <w:p w14:paraId="5CC9C007">
      <w:pPr>
        <w:keepNext w:val="0"/>
        <w:keepLines w:val="0"/>
        <w:pageBreakBefore w:val="0"/>
        <w:widowControl/>
        <w:shd w:val="clear"/>
        <w:kinsoku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pacing w:val="0"/>
          <w:position w:val="0"/>
          <w:sz w:val="32"/>
          <w:szCs w:val="32"/>
        </w:rPr>
      </w:pPr>
    </w:p>
    <w:p w14:paraId="0D941675">
      <w:pPr>
        <w:keepNext w:val="0"/>
        <w:keepLines w:val="0"/>
        <w:pageBreakBefore w:val="0"/>
        <w:widowControl/>
        <w:shd w:val="clear"/>
        <w:kinsoku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pacing w:val="0"/>
          <w:position w:val="0"/>
          <w:sz w:val="32"/>
          <w:szCs w:val="32"/>
        </w:rPr>
      </w:pPr>
    </w:p>
    <w:p w14:paraId="671C36E9">
      <w:pPr>
        <w:keepNext w:val="0"/>
        <w:keepLines w:val="0"/>
        <w:pageBreakBefore w:val="0"/>
        <w:widowControl/>
        <w:shd w:val="clear"/>
        <w:kinsoku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pacing w:val="0"/>
          <w:position w:val="0"/>
          <w:sz w:val="32"/>
          <w:szCs w:val="32"/>
        </w:rPr>
      </w:pPr>
    </w:p>
    <w:p w14:paraId="4A9F415A">
      <w:pPr>
        <w:pStyle w:val="3"/>
        <w:shd w:val="clear"/>
        <w:rPr>
          <w:rFonts w:hint="eastAsia" w:ascii="仿宋" w:hAnsi="仿宋" w:eastAsia="仿宋" w:cs="仿宋"/>
          <w:spacing w:val="0"/>
          <w:position w:val="0"/>
          <w:sz w:val="32"/>
          <w:szCs w:val="32"/>
        </w:rPr>
      </w:pPr>
    </w:p>
    <w:p w14:paraId="7EE911FE">
      <w:pPr>
        <w:pStyle w:val="3"/>
        <w:shd w:val="clear"/>
        <w:rPr>
          <w:rFonts w:hint="eastAsia" w:ascii="仿宋" w:hAnsi="仿宋" w:eastAsia="仿宋" w:cs="仿宋"/>
          <w:spacing w:val="0"/>
          <w:position w:val="0"/>
          <w:sz w:val="32"/>
          <w:szCs w:val="32"/>
        </w:rPr>
      </w:pPr>
    </w:p>
    <w:p w14:paraId="51872A2C">
      <w:pPr>
        <w:keepNext w:val="0"/>
        <w:keepLines w:val="0"/>
        <w:pageBreakBefore w:val="0"/>
        <w:widowControl/>
        <w:shd w:val="clear"/>
        <w:kinsoku w:val="0"/>
        <w:wordWrap/>
        <w:overflowPunct/>
        <w:topLinePunct w:val="0"/>
        <w:autoSpaceDE w:val="0"/>
        <w:autoSpaceDN w:val="0"/>
        <w:bidi w:val="0"/>
        <w:adjustRightInd w:val="0"/>
        <w:snapToGrid w:val="0"/>
        <w:spacing w:line="480" w:lineRule="auto"/>
        <w:ind w:left="1789" w:hanging="1188" w:hangingChars="495"/>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项目名称：</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p>
    <w:p w14:paraId="3FA9CACA">
      <w:pPr>
        <w:keepNext w:val="0"/>
        <w:keepLines w:val="0"/>
        <w:pageBreakBefore w:val="0"/>
        <w:widowControl/>
        <w:shd w:val="clear"/>
        <w:kinsoku w:val="0"/>
        <w:wordWrap/>
        <w:overflowPunct/>
        <w:topLinePunct w:val="0"/>
        <w:autoSpaceDE w:val="0"/>
        <w:autoSpaceDN w:val="0"/>
        <w:bidi w:val="0"/>
        <w:adjustRightInd w:val="0"/>
        <w:snapToGrid w:val="0"/>
        <w:spacing w:line="480" w:lineRule="auto"/>
        <w:ind w:left="1789" w:hanging="1188" w:hangingChars="495"/>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委托方（</w:t>
      </w:r>
      <w:r>
        <w:rPr>
          <w:rFonts w:hint="eastAsia" w:ascii="仿宋" w:hAnsi="仿宋" w:eastAsia="仿宋" w:cs="仿宋"/>
          <w:b w:val="0"/>
          <w:bCs/>
          <w:spacing w:val="0"/>
          <w:position w:val="0"/>
          <w:sz w:val="24"/>
          <w:szCs w:val="24"/>
          <w:lang w:eastAsia="zh-CN"/>
        </w:rPr>
        <w:t>采购人</w:t>
      </w:r>
      <w:r>
        <w:rPr>
          <w:rFonts w:hint="eastAsia" w:ascii="仿宋" w:hAnsi="仿宋" w:eastAsia="仿宋" w:cs="仿宋"/>
          <w:b w:val="0"/>
          <w:bCs/>
          <w:spacing w:val="0"/>
          <w:position w:val="0"/>
          <w:sz w:val="24"/>
          <w:szCs w:val="24"/>
        </w:rPr>
        <w:t>）：</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p>
    <w:p w14:paraId="51602148">
      <w:pPr>
        <w:keepNext w:val="0"/>
        <w:keepLines w:val="0"/>
        <w:pageBreakBefore w:val="0"/>
        <w:widowControl/>
        <w:shd w:val="clear"/>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受托方（</w:t>
      </w:r>
      <w:r>
        <w:rPr>
          <w:rFonts w:hint="eastAsia" w:ascii="仿宋" w:hAnsi="仿宋" w:eastAsia="仿宋" w:cs="仿宋"/>
          <w:b w:val="0"/>
          <w:bCs/>
          <w:spacing w:val="0"/>
          <w:position w:val="0"/>
          <w:sz w:val="24"/>
          <w:szCs w:val="24"/>
          <w:lang w:eastAsia="zh-CN"/>
        </w:rPr>
        <w:t>成交供应商</w:t>
      </w:r>
      <w:r>
        <w:rPr>
          <w:rFonts w:hint="eastAsia" w:ascii="仿宋" w:hAnsi="仿宋" w:eastAsia="仿宋" w:cs="仿宋"/>
          <w:b w:val="0"/>
          <w:bCs/>
          <w:spacing w:val="0"/>
          <w:position w:val="0"/>
          <w:sz w:val="24"/>
          <w:szCs w:val="24"/>
        </w:rPr>
        <w:t>）：</w:t>
      </w:r>
      <w:r>
        <w:rPr>
          <w:rFonts w:hint="eastAsia" w:ascii="仿宋" w:hAnsi="仿宋" w:eastAsia="仿宋" w:cs="仿宋"/>
          <w:b w:val="0"/>
          <w:bCs/>
          <w:spacing w:val="0"/>
          <w:position w:val="0"/>
          <w:sz w:val="24"/>
          <w:szCs w:val="24"/>
          <w:u w:val="single"/>
        </w:rPr>
        <w:t xml:space="preserve">                        </w:t>
      </w:r>
    </w:p>
    <w:p w14:paraId="545B85B7">
      <w:pPr>
        <w:keepNext w:val="0"/>
        <w:keepLines w:val="0"/>
        <w:pageBreakBefore w:val="0"/>
        <w:widowControl/>
        <w:shd w:val="clear"/>
        <w:kinsoku w:val="0"/>
        <w:wordWrap/>
        <w:overflowPunct/>
        <w:topLinePunct w:val="0"/>
        <w:autoSpaceDE w:val="0"/>
        <w:autoSpaceDN w:val="0"/>
        <w:bidi w:val="0"/>
        <w:adjustRightInd w:val="0"/>
        <w:snapToGrid w:val="0"/>
        <w:spacing w:line="480" w:lineRule="auto"/>
        <w:jc w:val="left"/>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签订地点：</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p>
    <w:p w14:paraId="2241EDD2">
      <w:pPr>
        <w:shd w:val="clear"/>
        <w:rPr>
          <w:spacing w:val="0"/>
          <w:position w:val="0"/>
          <w:sz w:val="36"/>
          <w:u w:val="single"/>
        </w:rPr>
      </w:pPr>
    </w:p>
    <w:p w14:paraId="1FF2B470">
      <w:pPr>
        <w:shd w:val="clear"/>
        <w:rPr>
          <w:spacing w:val="0"/>
          <w:position w:val="0"/>
          <w:sz w:val="36"/>
        </w:rPr>
      </w:pPr>
      <w:r>
        <w:rPr>
          <w:spacing w:val="0"/>
          <w:position w:val="0"/>
          <w:sz w:val="36"/>
        </w:rPr>
        <w:t xml:space="preserve">         </w:t>
      </w:r>
    </w:p>
    <w:p w14:paraId="1FCD92F3">
      <w:pPr>
        <w:shd w:val="clear"/>
        <w:jc w:val="center"/>
        <w:rPr>
          <w:spacing w:val="0"/>
          <w:position w:val="0"/>
          <w:sz w:val="30"/>
        </w:rPr>
      </w:pPr>
    </w:p>
    <w:p w14:paraId="5A7E31B0">
      <w:pPr>
        <w:shd w:val="clear"/>
        <w:jc w:val="center"/>
        <w:rPr>
          <w:spacing w:val="0"/>
          <w:position w:val="0"/>
          <w:sz w:val="30"/>
        </w:rPr>
      </w:pPr>
    </w:p>
    <w:p w14:paraId="2236EC3C">
      <w:pPr>
        <w:shd w:val="clear"/>
        <w:jc w:val="center"/>
        <w:rPr>
          <w:spacing w:val="0"/>
          <w:position w:val="0"/>
          <w:sz w:val="36"/>
        </w:rPr>
      </w:pPr>
    </w:p>
    <w:p w14:paraId="28754173">
      <w:pPr>
        <w:shd w:val="clear"/>
        <w:jc w:val="center"/>
        <w:rPr>
          <w:spacing w:val="0"/>
          <w:position w:val="0"/>
          <w:sz w:val="32"/>
        </w:rPr>
      </w:pPr>
    </w:p>
    <w:p w14:paraId="470693AF">
      <w:pPr>
        <w:shd w:val="clear"/>
        <w:jc w:val="center"/>
        <w:rPr>
          <w:spacing w:val="0"/>
          <w:position w:val="0"/>
          <w:sz w:val="28"/>
        </w:rPr>
        <w:sectPr>
          <w:pgSz w:w="11906" w:h="16838"/>
          <w:pgMar w:top="1440" w:right="1466" w:bottom="1440" w:left="1800" w:header="851" w:footer="992" w:gutter="0"/>
          <w:cols w:space="720" w:num="1"/>
          <w:docGrid w:type="lines" w:linePitch="312" w:charSpace="0"/>
        </w:sectPr>
      </w:pPr>
    </w:p>
    <w:p w14:paraId="1610F403">
      <w:pPr>
        <w:keepNext w:val="0"/>
        <w:keepLines w:val="0"/>
        <w:pageBreakBefore w:val="0"/>
        <w:shd w:val="clear" w:color="auto" w:fill="auto"/>
        <w:tabs>
          <w:tab w:val="left" w:pos="735"/>
        </w:tabs>
        <w:wordWrap/>
        <w:overflowPunct/>
        <w:topLinePunct w:val="0"/>
        <w:autoSpaceDE w:val="0"/>
        <w:autoSpaceDN w:val="0"/>
        <w:bidi w:val="0"/>
        <w:adjustRightInd w:val="0"/>
        <w:snapToGrid w:val="0"/>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zh-CN"/>
        </w:rPr>
        <w:t>此合同草案条款，</w:t>
      </w:r>
      <w:r>
        <w:rPr>
          <w:rFonts w:hint="eastAsia" w:ascii="仿宋" w:hAnsi="仿宋" w:eastAsia="仿宋" w:cs="仿宋"/>
          <w:b/>
          <w:color w:val="auto"/>
          <w:sz w:val="24"/>
          <w:szCs w:val="24"/>
          <w:highlight w:val="none"/>
        </w:rPr>
        <w:t>采购人和成交供应商</w:t>
      </w:r>
      <w:r>
        <w:rPr>
          <w:rFonts w:hint="eastAsia" w:ascii="仿宋" w:hAnsi="仿宋" w:eastAsia="仿宋" w:cs="仿宋"/>
          <w:b/>
          <w:color w:val="auto"/>
          <w:sz w:val="24"/>
          <w:szCs w:val="24"/>
          <w:highlight w:val="none"/>
          <w:lang w:val="zh-CN"/>
        </w:rPr>
        <w:t>所签订的合同</w:t>
      </w:r>
      <w:r>
        <w:rPr>
          <w:rFonts w:hint="eastAsia" w:ascii="仿宋" w:hAnsi="仿宋" w:eastAsia="仿宋" w:cs="仿宋"/>
          <w:b/>
          <w:color w:val="auto"/>
          <w:sz w:val="24"/>
          <w:szCs w:val="24"/>
          <w:highlight w:val="none"/>
        </w:rPr>
        <w:t>不得对磋商</w:t>
      </w:r>
      <w:r>
        <w:rPr>
          <w:rFonts w:hint="eastAsia" w:ascii="仿宋" w:hAnsi="仿宋" w:eastAsia="仿宋" w:cs="仿宋"/>
          <w:b/>
          <w:color w:val="auto"/>
          <w:sz w:val="24"/>
          <w:szCs w:val="24"/>
          <w:highlight w:val="none"/>
          <w:lang w:val="zh-CN"/>
        </w:rPr>
        <w:t>文件确定的事项和</w:t>
      </w:r>
      <w:r>
        <w:rPr>
          <w:rFonts w:hint="eastAsia" w:ascii="仿宋" w:hAnsi="仿宋" w:eastAsia="仿宋" w:cs="仿宋"/>
          <w:b/>
          <w:color w:val="auto"/>
          <w:sz w:val="24"/>
          <w:szCs w:val="24"/>
          <w:highlight w:val="none"/>
        </w:rPr>
        <w:t>成交供应商</w:t>
      </w:r>
      <w:r>
        <w:rPr>
          <w:rFonts w:hint="eastAsia" w:ascii="仿宋" w:hAnsi="仿宋" w:eastAsia="仿宋" w:cs="仿宋"/>
          <w:b/>
          <w:color w:val="auto"/>
          <w:sz w:val="24"/>
          <w:szCs w:val="24"/>
          <w:highlight w:val="none"/>
          <w:lang w:val="zh-CN"/>
        </w:rPr>
        <w:t>的</w:t>
      </w:r>
      <w:r>
        <w:rPr>
          <w:rFonts w:hint="eastAsia" w:ascii="仿宋" w:hAnsi="仿宋" w:eastAsia="仿宋" w:cs="仿宋"/>
          <w:b/>
          <w:color w:val="auto"/>
          <w:sz w:val="24"/>
          <w:szCs w:val="24"/>
          <w:highlight w:val="none"/>
        </w:rPr>
        <w:t>磋商响应</w:t>
      </w:r>
      <w:r>
        <w:rPr>
          <w:rFonts w:hint="eastAsia" w:ascii="仿宋" w:hAnsi="仿宋" w:eastAsia="仿宋" w:cs="仿宋"/>
          <w:b/>
          <w:color w:val="auto"/>
          <w:sz w:val="24"/>
          <w:szCs w:val="24"/>
          <w:highlight w:val="none"/>
          <w:lang w:val="zh-CN"/>
        </w:rPr>
        <w:t>文件做实质性修改，最终签订的合同以采购人确定的合同内容为准。</w:t>
      </w:r>
      <w:r>
        <w:rPr>
          <w:rFonts w:hint="eastAsia" w:ascii="仿宋" w:hAnsi="仿宋" w:eastAsia="仿宋" w:cs="仿宋"/>
          <w:b/>
          <w:color w:val="auto"/>
          <w:sz w:val="24"/>
          <w:szCs w:val="24"/>
          <w:highlight w:val="none"/>
        </w:rPr>
        <w:t>）</w:t>
      </w:r>
    </w:p>
    <w:p w14:paraId="037D959B">
      <w:pPr>
        <w:pStyle w:val="2"/>
        <w:keepNext w:val="0"/>
        <w:keepLines w:val="0"/>
        <w:pageBreakBefore w:val="0"/>
        <w:shd w:val="clear" w:color="auto" w:fill="auto"/>
        <w:wordWrap/>
        <w:overflowPunct/>
        <w:topLinePunct w:val="0"/>
        <w:bidi w:val="0"/>
        <w:spacing w:line="360" w:lineRule="auto"/>
        <w:rPr>
          <w:rFonts w:hint="eastAsia" w:ascii="仿宋" w:hAnsi="仿宋" w:eastAsia="仿宋" w:cs="仿宋"/>
          <w:color w:val="auto"/>
          <w:sz w:val="24"/>
          <w:szCs w:val="24"/>
          <w:highlight w:val="none"/>
        </w:rPr>
      </w:pPr>
    </w:p>
    <w:p w14:paraId="2E9BD02C">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甲方（采购人）： </w:t>
      </w:r>
    </w:p>
    <w:p w14:paraId="385BA52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w:t>
      </w:r>
      <w:r>
        <w:rPr>
          <w:rFonts w:hint="eastAsia" w:ascii="仿宋" w:hAnsi="仿宋" w:eastAsia="仿宋" w:cs="仿宋"/>
          <w:bCs/>
          <w:sz w:val="24"/>
          <w:szCs w:val="24"/>
          <w:highlight w:val="none"/>
          <w:lang w:val="en-US" w:eastAsia="zh-CN"/>
        </w:rPr>
        <w:t>成交供应商</w:t>
      </w:r>
      <w:r>
        <w:rPr>
          <w:rFonts w:hint="eastAsia" w:ascii="仿宋" w:hAnsi="仿宋" w:eastAsia="仿宋" w:cs="仿宋"/>
          <w:bCs/>
          <w:sz w:val="24"/>
          <w:szCs w:val="24"/>
          <w:highlight w:val="none"/>
        </w:rPr>
        <w:t xml:space="preserve">）： </w:t>
      </w:r>
    </w:p>
    <w:p w14:paraId="74440108">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u w:val="single"/>
          <w:lang w:eastAsia="zh-CN"/>
        </w:rPr>
        <w:t>西安北站“五一”“十一”春节等假期应对大客流购买临时安保服务</w:t>
      </w:r>
      <w:r>
        <w:rPr>
          <w:rFonts w:hint="eastAsia" w:ascii="仿宋" w:hAnsi="仿宋" w:eastAsia="仿宋" w:cs="仿宋"/>
          <w:bCs/>
          <w:sz w:val="24"/>
          <w:szCs w:val="24"/>
          <w:highlight w:val="none"/>
          <w:u w:val="single"/>
        </w:rPr>
        <w:t>(项目编号：</w:t>
      </w:r>
      <w:r>
        <w:rPr>
          <w:rFonts w:hint="eastAsia" w:ascii="仿宋" w:hAnsi="仿宋" w:eastAsia="仿宋" w:cs="仿宋"/>
          <w:bCs/>
          <w:sz w:val="24"/>
          <w:szCs w:val="24"/>
          <w:highlight w:val="none"/>
          <w:u w:val="single"/>
          <w:lang w:eastAsia="zh-CN"/>
        </w:rPr>
        <w:t>HRC-ZBDL-2025-00545</w:t>
      </w:r>
      <w:r>
        <w:rPr>
          <w:rFonts w:hint="eastAsia" w:ascii="仿宋" w:hAnsi="仿宋" w:eastAsia="仿宋" w:cs="仿宋"/>
          <w:bCs/>
          <w:sz w:val="24"/>
          <w:szCs w:val="24"/>
          <w:highlight w:val="none"/>
          <w:u w:val="single"/>
        </w:rPr>
        <w:t>)</w:t>
      </w:r>
      <w:r>
        <w:rPr>
          <w:rFonts w:hint="eastAsia" w:ascii="仿宋" w:hAnsi="仿宋" w:eastAsia="仿宋" w:cs="仿宋"/>
          <w:bCs/>
          <w:sz w:val="24"/>
          <w:szCs w:val="24"/>
          <w:highlight w:val="none"/>
        </w:rPr>
        <w:t>，由</w:t>
      </w:r>
      <w:r>
        <w:rPr>
          <w:rFonts w:hint="eastAsia" w:ascii="仿宋" w:hAnsi="仿宋" w:eastAsia="仿宋" w:cs="仿宋"/>
          <w:bCs/>
          <w:sz w:val="24"/>
          <w:szCs w:val="24"/>
          <w:highlight w:val="none"/>
          <w:lang w:eastAsia="zh-CN"/>
        </w:rPr>
        <w:t>华睿诚项目管理有限公司</w:t>
      </w:r>
      <w:r>
        <w:rPr>
          <w:rFonts w:hint="eastAsia" w:ascii="仿宋" w:hAnsi="仿宋" w:eastAsia="仿宋" w:cs="仿宋"/>
          <w:bCs/>
          <w:sz w:val="24"/>
          <w:szCs w:val="24"/>
          <w:highlight w:val="none"/>
        </w:rPr>
        <w:t>组织</w:t>
      </w:r>
      <w:r>
        <w:rPr>
          <w:rFonts w:hint="eastAsia" w:ascii="仿宋" w:hAnsi="仿宋" w:eastAsia="仿宋" w:cs="仿宋"/>
          <w:bCs/>
          <w:sz w:val="24"/>
          <w:szCs w:val="24"/>
          <w:highlight w:val="none"/>
          <w:lang w:val="en-US" w:eastAsia="zh-CN"/>
        </w:rPr>
        <w:t>竞争性磋商</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(以下简称“甲方”)确定</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（以下简称“乙方”）为该项目的</w:t>
      </w:r>
      <w:r>
        <w:rPr>
          <w:rFonts w:hint="eastAsia" w:ascii="仿宋" w:hAnsi="仿宋" w:eastAsia="仿宋" w:cs="仿宋"/>
          <w:bCs/>
          <w:sz w:val="24"/>
          <w:szCs w:val="24"/>
          <w:highlight w:val="none"/>
          <w:lang w:val="en-US" w:eastAsia="zh-CN"/>
        </w:rPr>
        <w:t>成交供应商</w:t>
      </w:r>
      <w:r>
        <w:rPr>
          <w:rFonts w:hint="eastAsia" w:ascii="仿宋" w:hAnsi="仿宋" w:eastAsia="仿宋" w:cs="仿宋"/>
          <w:bCs/>
          <w:sz w:val="24"/>
          <w:szCs w:val="24"/>
          <w:highlight w:val="none"/>
        </w:rPr>
        <w:t>。</w:t>
      </w:r>
    </w:p>
    <w:p w14:paraId="65E63EBD">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依据《中华人民共和国</w:t>
      </w:r>
      <w:r>
        <w:rPr>
          <w:rFonts w:hint="eastAsia" w:ascii="仿宋" w:hAnsi="仿宋" w:eastAsia="仿宋" w:cs="仿宋"/>
          <w:bCs/>
          <w:sz w:val="24"/>
          <w:szCs w:val="24"/>
          <w:highlight w:val="none"/>
          <w:lang w:eastAsia="zh-CN"/>
        </w:rPr>
        <w:t>民法典</w:t>
      </w:r>
      <w:r>
        <w:rPr>
          <w:rFonts w:hint="eastAsia" w:ascii="仿宋" w:hAnsi="仿宋" w:eastAsia="仿宋" w:cs="仿宋"/>
          <w:bCs/>
          <w:sz w:val="24"/>
          <w:szCs w:val="24"/>
          <w:highlight w:val="none"/>
        </w:rPr>
        <w:t>》和《中华人民共和国政府采购法》之规定，经双方在平等、自愿、互利的基础上，签订本合同，共同信守。</w:t>
      </w:r>
    </w:p>
    <w:p w14:paraId="76A4E1B3">
      <w:pPr>
        <w:pStyle w:val="4"/>
        <w:keepNext w:val="0"/>
        <w:keepLines w:val="0"/>
        <w:pageBreakBefore w:val="0"/>
        <w:shd w:val="clear" w:color="auto" w:fill="auto"/>
        <w:wordWrap/>
        <w:overflowPunct/>
        <w:topLinePunct w:val="0"/>
        <w:bidi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一、合同价款</w:t>
      </w:r>
    </w:p>
    <w:p w14:paraId="70FEACE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u w:val="single"/>
          <w:lang w:val="en-US" w:eastAsia="zh-CN"/>
        </w:rPr>
      </w:pPr>
      <w:r>
        <w:rPr>
          <w:rFonts w:hint="eastAsia" w:ascii="仿宋" w:hAnsi="仿宋" w:eastAsia="仿宋" w:cs="仿宋"/>
          <w:bCs/>
          <w:sz w:val="24"/>
          <w:szCs w:val="24"/>
          <w:highlight w:val="none"/>
        </w:rPr>
        <w:t>（一）合同</w:t>
      </w:r>
      <w:r>
        <w:rPr>
          <w:rFonts w:hint="eastAsia" w:ascii="仿宋" w:hAnsi="仿宋" w:eastAsia="仿宋" w:cs="仿宋"/>
          <w:bCs/>
          <w:sz w:val="24"/>
          <w:szCs w:val="24"/>
          <w:highlight w:val="none"/>
          <w:lang w:val="en-US" w:eastAsia="zh-CN"/>
        </w:rPr>
        <w:t>总价暂定</w:t>
      </w:r>
      <w:r>
        <w:rPr>
          <w:rFonts w:hint="eastAsia" w:ascii="仿宋" w:hAnsi="仿宋" w:eastAsia="仿宋" w:cs="仿宋"/>
          <w:bCs/>
          <w:sz w:val="24"/>
          <w:szCs w:val="24"/>
          <w:highlight w:val="none"/>
        </w:rPr>
        <w:t>为</w:t>
      </w:r>
      <w:r>
        <w:rPr>
          <w:rFonts w:hint="eastAsia" w:ascii="仿宋" w:hAnsi="仿宋" w:eastAsia="仿宋" w:cs="仿宋"/>
          <w:bCs/>
          <w:sz w:val="24"/>
          <w:szCs w:val="24"/>
          <w:highlight w:val="none"/>
          <w:lang w:val="en-US" w:eastAsia="zh-CN"/>
        </w:rPr>
        <w:t>人民</w:t>
      </w:r>
      <w:r>
        <w:rPr>
          <w:rFonts w:hint="eastAsia" w:ascii="仿宋" w:hAnsi="仿宋" w:eastAsia="仿宋" w:cs="仿宋"/>
          <w:bCs/>
          <w:sz w:val="24"/>
          <w:szCs w:val="24"/>
          <w:highlight w:val="none"/>
          <w:u w:val="none"/>
          <w:lang w:val="en-US" w:eastAsia="zh-CN"/>
        </w:rPr>
        <w:t>币：</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元（¥           ）</w:t>
      </w:r>
    </w:p>
    <w:p w14:paraId="3F74679A">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2160" w:firstLineChars="9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综合人工单价：</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元/人/小时</w:t>
      </w:r>
    </w:p>
    <w:p w14:paraId="72E1DCFB">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 xml:space="preserve">              综合人工单价：</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元/人/班（8小时）</w:t>
      </w:r>
      <w:r>
        <w:rPr>
          <w:rFonts w:hint="eastAsia" w:ascii="仿宋" w:hAnsi="仿宋" w:eastAsia="仿宋" w:cs="仿宋"/>
          <w:bCs/>
          <w:sz w:val="24"/>
          <w:szCs w:val="24"/>
          <w:highlight w:val="none"/>
        </w:rPr>
        <w:t>。</w:t>
      </w:r>
    </w:p>
    <w:p w14:paraId="03CA76D8">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（二）合同</w:t>
      </w:r>
      <w:r>
        <w:rPr>
          <w:rFonts w:hint="eastAsia" w:ascii="仿宋" w:hAnsi="仿宋" w:eastAsia="仿宋" w:cs="仿宋"/>
          <w:bCs/>
          <w:sz w:val="24"/>
          <w:szCs w:val="24"/>
          <w:highlight w:val="none"/>
          <w:lang w:val="en-US" w:eastAsia="zh-CN"/>
        </w:rPr>
        <w:t>价款(综合人工单价)</w:t>
      </w:r>
      <w:r>
        <w:rPr>
          <w:rFonts w:hint="eastAsia" w:ascii="仿宋" w:hAnsi="仿宋" w:eastAsia="仿宋" w:cs="仿宋"/>
          <w:bCs/>
          <w:sz w:val="24"/>
          <w:szCs w:val="24"/>
          <w:highlight w:val="none"/>
        </w:rPr>
        <w:t>包括：</w:t>
      </w:r>
      <w:r>
        <w:rPr>
          <w:rFonts w:hint="eastAsia" w:ascii="仿宋" w:hAnsi="仿宋" w:eastAsia="仿宋" w:cs="仿宋"/>
          <w:bCs/>
          <w:sz w:val="24"/>
          <w:szCs w:val="24"/>
          <w:highlight w:val="none"/>
          <w:lang w:val="en-US" w:eastAsia="zh-CN"/>
        </w:rPr>
        <w:t>人员工资、加班、补贴、保险、食宿、防护物资及器械等所有费用，后期不再进行任何调整</w:t>
      </w:r>
      <w:r>
        <w:rPr>
          <w:rFonts w:hint="eastAsia" w:ascii="仿宋" w:hAnsi="仿宋" w:eastAsia="仿宋" w:cs="仿宋"/>
          <w:bCs/>
          <w:sz w:val="24"/>
          <w:szCs w:val="24"/>
          <w:highlight w:val="none"/>
          <w:lang w:val="zh-CN"/>
        </w:rPr>
        <w:t>。</w:t>
      </w:r>
    </w:p>
    <w:p w14:paraId="73593437">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（三）合同</w:t>
      </w:r>
      <w:r>
        <w:rPr>
          <w:rFonts w:hint="eastAsia" w:ascii="仿宋" w:hAnsi="仿宋" w:eastAsia="仿宋" w:cs="仿宋"/>
          <w:bCs/>
          <w:sz w:val="24"/>
          <w:szCs w:val="24"/>
          <w:highlight w:val="none"/>
          <w:lang w:val="en-US" w:eastAsia="zh-CN"/>
        </w:rPr>
        <w:t>价款（综合人工单价）</w:t>
      </w:r>
      <w:r>
        <w:rPr>
          <w:rFonts w:hint="eastAsia" w:ascii="仿宋" w:hAnsi="仿宋" w:eastAsia="仿宋" w:cs="仿宋"/>
          <w:bCs/>
          <w:sz w:val="24"/>
          <w:szCs w:val="24"/>
          <w:highlight w:val="none"/>
        </w:rPr>
        <w:t>一次性包死，不受市场价格变化因素的影响。</w:t>
      </w:r>
    </w:p>
    <w:p w14:paraId="18F6376C">
      <w:pPr>
        <w:pStyle w:val="4"/>
        <w:keepNext w:val="0"/>
        <w:keepLines w:val="0"/>
        <w:pageBreakBefore w:val="0"/>
        <w:shd w:val="clear" w:color="auto" w:fill="auto"/>
        <w:wordWrap/>
        <w:overflowPunct/>
        <w:topLinePunct w:val="0"/>
        <w:bidi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二</w:t>
      </w:r>
      <w:r>
        <w:rPr>
          <w:rFonts w:hint="eastAsia" w:ascii="仿宋" w:hAnsi="仿宋" w:eastAsia="仿宋" w:cs="仿宋"/>
          <w:b/>
          <w:bCs/>
          <w:sz w:val="24"/>
          <w:szCs w:val="24"/>
          <w:highlight w:val="none"/>
        </w:rPr>
        <w:t>、款项结算</w:t>
      </w:r>
    </w:p>
    <w:p w14:paraId="5EE2FD6B">
      <w:pPr>
        <w:keepNext w:val="0"/>
        <w:keepLines w:val="0"/>
        <w:pageBreakBefore w:val="0"/>
        <w:widowControl w:val="0"/>
        <w:shd w:val="clear" w:color="auto" w:fill="auto"/>
        <w:tabs>
          <w:tab w:val="left" w:pos="840"/>
        </w:tabs>
        <w:kinsoku w:val="0"/>
        <w:wordWrap/>
        <w:overflowPunct/>
        <w:topLinePunct w:val="0"/>
        <w:autoSpaceDE/>
        <w:autoSpaceDN/>
        <w:bidi w:val="0"/>
        <w:adjustRightInd w:val="0"/>
        <w:snapToGrid w:val="0"/>
        <w:spacing w:line="360" w:lineRule="auto"/>
        <w:ind w:left="0" w:leftChars="0" w:firstLine="482" w:firstLineChars="200"/>
        <w:jc w:val="both"/>
        <w:textAlignment w:val="auto"/>
        <w:rPr>
          <w:rFonts w:hint="default" w:ascii="仿宋" w:hAnsi="仿宋" w:eastAsia="仿宋" w:cs="仿宋"/>
          <w:b/>
          <w:bCs w:val="0"/>
          <w:sz w:val="24"/>
          <w:szCs w:val="24"/>
          <w:highlight w:val="none"/>
          <w:lang w:val="en-US"/>
        </w:rPr>
      </w:pPr>
      <w:r>
        <w:rPr>
          <w:rFonts w:hint="eastAsia" w:ascii="仿宋" w:hAnsi="仿宋" w:eastAsia="仿宋" w:cs="仿宋"/>
          <w:b/>
          <w:bCs w:val="0"/>
          <w:sz w:val="24"/>
          <w:szCs w:val="24"/>
          <w:highlight w:val="none"/>
        </w:rPr>
        <w:t>（一）</w:t>
      </w:r>
      <w:r>
        <w:rPr>
          <w:rFonts w:hint="eastAsia" w:ascii="仿宋" w:hAnsi="仿宋" w:eastAsia="仿宋" w:cs="仿宋"/>
          <w:b/>
          <w:bCs w:val="0"/>
          <w:sz w:val="24"/>
          <w:szCs w:val="24"/>
          <w:highlight w:val="none"/>
          <w:lang w:val="en-US" w:eastAsia="zh-CN"/>
        </w:rPr>
        <w:t>本项目无预付款，采取固定综合人工单价模式，据实结算，最终合同结算款=综合人工单价（中标）（元/人/班）*人数*服务天数。</w:t>
      </w:r>
    </w:p>
    <w:p w14:paraId="45A0333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（二）结算方式：银行转账。</w:t>
      </w:r>
    </w:p>
    <w:p w14:paraId="7EF9DB0A">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（三）结算</w:t>
      </w:r>
      <w:r>
        <w:rPr>
          <w:rFonts w:hint="eastAsia" w:ascii="仿宋" w:hAnsi="仿宋" w:eastAsia="仿宋" w:cs="仿宋"/>
          <w:bCs/>
          <w:sz w:val="24"/>
          <w:szCs w:val="24"/>
          <w:highlight w:val="none"/>
          <w:lang w:eastAsia="zh-CN"/>
        </w:rPr>
        <w:t>方式</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服务费按</w:t>
      </w:r>
      <w:r>
        <w:rPr>
          <w:rFonts w:hint="eastAsia" w:ascii="仿宋" w:hAnsi="仿宋" w:eastAsia="仿宋" w:cs="仿宋"/>
          <w:bCs/>
          <w:sz w:val="24"/>
          <w:szCs w:val="24"/>
          <w:highlight w:val="none"/>
          <w:lang w:val="en-US" w:eastAsia="zh-CN"/>
        </w:rPr>
        <w:t>实际出勤人数及天数，据实结算</w:t>
      </w:r>
      <w:r>
        <w:rPr>
          <w:rFonts w:hint="eastAsia" w:ascii="仿宋" w:hAnsi="仿宋" w:eastAsia="仿宋" w:cs="仿宋"/>
          <w:bCs/>
          <w:sz w:val="24"/>
          <w:szCs w:val="24"/>
          <w:highlight w:val="none"/>
          <w:lang w:eastAsia="zh-CN"/>
        </w:rPr>
        <w:t>，甲方于每</w:t>
      </w:r>
      <w:r>
        <w:rPr>
          <w:rFonts w:hint="eastAsia" w:ascii="仿宋" w:hAnsi="仿宋" w:eastAsia="仿宋" w:cs="仿宋"/>
          <w:bCs/>
          <w:sz w:val="24"/>
          <w:szCs w:val="24"/>
          <w:highlight w:val="none"/>
          <w:lang w:val="en-US" w:eastAsia="zh-CN"/>
        </w:rPr>
        <w:t>个节假日结束后</w:t>
      </w:r>
      <w:r>
        <w:rPr>
          <w:rFonts w:hint="eastAsia" w:ascii="仿宋" w:hAnsi="仿宋" w:eastAsia="仿宋" w:cs="仿宋"/>
          <w:bCs/>
          <w:sz w:val="24"/>
          <w:szCs w:val="24"/>
          <w:highlight w:val="none"/>
          <w:lang w:eastAsia="zh-CN"/>
        </w:rPr>
        <w:t>为乙方办理服务费支付手续</w:t>
      </w:r>
      <w:r>
        <w:rPr>
          <w:rFonts w:hint="eastAsia" w:ascii="仿宋" w:hAnsi="仿宋" w:eastAsia="仿宋" w:cs="仿宋"/>
          <w:bCs/>
          <w:sz w:val="24"/>
          <w:szCs w:val="24"/>
          <w:highlight w:val="none"/>
          <w:lang w:val="en-US" w:eastAsia="zh-CN"/>
        </w:rPr>
        <w:t>。</w:t>
      </w:r>
      <w:r>
        <w:rPr>
          <w:rFonts w:hint="eastAsia" w:ascii="仿宋" w:hAnsi="仿宋" w:eastAsia="仿宋" w:cs="仿宋"/>
          <w:bCs/>
          <w:sz w:val="24"/>
          <w:szCs w:val="24"/>
          <w:highlight w:val="none"/>
          <w:lang w:val="zh-CN"/>
        </w:rPr>
        <w:t>合同签订后，乙方根据付款</w:t>
      </w:r>
      <w:r>
        <w:rPr>
          <w:rFonts w:hint="eastAsia" w:ascii="仿宋" w:hAnsi="仿宋" w:eastAsia="仿宋" w:cs="仿宋"/>
          <w:bCs/>
          <w:sz w:val="24"/>
          <w:szCs w:val="24"/>
          <w:highlight w:val="none"/>
          <w:lang w:val="en-US" w:eastAsia="zh-CN"/>
        </w:rPr>
        <w:t>约定</w:t>
      </w:r>
      <w:r>
        <w:rPr>
          <w:rFonts w:hint="eastAsia" w:ascii="仿宋" w:hAnsi="仿宋" w:eastAsia="仿宋" w:cs="仿宋"/>
          <w:bCs/>
          <w:sz w:val="24"/>
          <w:szCs w:val="24"/>
          <w:highlight w:val="none"/>
          <w:lang w:val="zh-CN"/>
        </w:rPr>
        <w:t>，在接受付款前，开具等额发票给甲方。</w:t>
      </w:r>
      <w:r>
        <w:rPr>
          <w:rFonts w:hint="eastAsia" w:ascii="仿宋" w:hAnsi="仿宋" w:eastAsia="仿宋" w:cs="仿宋"/>
          <w:bCs/>
          <w:sz w:val="24"/>
          <w:szCs w:val="24"/>
          <w:highlight w:val="none"/>
          <w:lang w:val="zh-CN" w:eastAsia="zh-CN"/>
        </w:rPr>
        <w:t>否则</w:t>
      </w:r>
      <w:r>
        <w:rPr>
          <w:rFonts w:hint="eastAsia" w:ascii="仿宋" w:hAnsi="仿宋" w:eastAsia="仿宋" w:cs="仿宋"/>
          <w:bCs/>
          <w:sz w:val="24"/>
          <w:szCs w:val="24"/>
          <w:highlight w:val="none"/>
          <w:lang w:val="en-US" w:eastAsia="zh-CN"/>
        </w:rPr>
        <w:t>甲方</w:t>
      </w:r>
      <w:r>
        <w:rPr>
          <w:rFonts w:hint="eastAsia" w:ascii="仿宋" w:hAnsi="仿宋" w:eastAsia="仿宋" w:cs="仿宋"/>
          <w:bCs/>
          <w:sz w:val="24"/>
          <w:szCs w:val="24"/>
          <w:highlight w:val="none"/>
          <w:lang w:val="zh-CN" w:eastAsia="zh-CN"/>
        </w:rPr>
        <w:t>有权顺延付款期限且不承担因逾期付款而产生的任何违约责任。</w:t>
      </w:r>
    </w:p>
    <w:p w14:paraId="55DB358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三、服务</w:t>
      </w:r>
      <w:r>
        <w:rPr>
          <w:rFonts w:hint="eastAsia" w:ascii="仿宋" w:hAnsi="仿宋" w:eastAsia="仿宋" w:cs="仿宋"/>
          <w:b/>
          <w:bCs/>
          <w:sz w:val="24"/>
          <w:szCs w:val="24"/>
          <w:highlight w:val="none"/>
          <w:lang w:val="en-US" w:eastAsia="zh-CN"/>
        </w:rPr>
        <w:t>内容及</w:t>
      </w:r>
      <w:r>
        <w:rPr>
          <w:rFonts w:hint="eastAsia" w:ascii="仿宋" w:hAnsi="仿宋" w:eastAsia="仿宋" w:cs="仿宋"/>
          <w:b/>
          <w:bCs/>
          <w:sz w:val="24"/>
          <w:szCs w:val="24"/>
          <w:highlight w:val="none"/>
        </w:rPr>
        <w:t>要求</w:t>
      </w:r>
    </w:p>
    <w:p w14:paraId="21D45457">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（一）服务地点：</w:t>
      </w:r>
      <w:r>
        <w:rPr>
          <w:rFonts w:hint="eastAsia" w:ascii="仿宋" w:hAnsi="仿宋" w:eastAsia="仿宋" w:cs="仿宋"/>
          <w:bCs/>
          <w:sz w:val="24"/>
          <w:szCs w:val="24"/>
          <w:highlight w:val="none"/>
          <w:lang w:eastAsia="zh-CN"/>
        </w:rPr>
        <w:t>甲方</w:t>
      </w:r>
      <w:r>
        <w:rPr>
          <w:rFonts w:hint="eastAsia" w:ascii="仿宋" w:hAnsi="仿宋" w:eastAsia="仿宋" w:cs="仿宋"/>
          <w:bCs/>
          <w:sz w:val="24"/>
          <w:szCs w:val="24"/>
          <w:highlight w:val="none"/>
        </w:rPr>
        <w:t>指定的地点</w:t>
      </w:r>
    </w:p>
    <w:p w14:paraId="1D873645">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（二）服务期</w:t>
      </w:r>
      <w:r>
        <w:rPr>
          <w:rFonts w:hint="eastAsia" w:ascii="仿宋" w:hAnsi="仿宋" w:eastAsia="仿宋" w:cs="仿宋"/>
          <w:bCs/>
          <w:sz w:val="24"/>
          <w:szCs w:val="24"/>
          <w:highlight w:val="none"/>
          <w:lang w:val="en-US" w:eastAsia="zh-CN"/>
        </w:rPr>
        <w:t>2年。</w:t>
      </w:r>
    </w:p>
    <w:p w14:paraId="63982F3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三</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服务时间：每年“五一”、“十一”、春节等假期累计服务时间预计为25天，24小时待命。</w:t>
      </w:r>
    </w:p>
    <w:p w14:paraId="3FC2F2B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（四）</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bCs/>
          <w:sz w:val="24"/>
          <w:szCs w:val="24"/>
          <w:highlight w:val="none"/>
          <w:lang w:val="en-US" w:eastAsia="zh-CN"/>
        </w:rPr>
        <w:t>安排：每天上班具体人数，由甲方根据每天的客流情况实时安排，最晚一班须服务至当日旅客全部离站。</w:t>
      </w:r>
    </w:p>
    <w:p w14:paraId="3C15AC2F">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（五）</w:t>
      </w:r>
      <w:r>
        <w:rPr>
          <w:rFonts w:hint="eastAsia" w:ascii="仿宋" w:hAnsi="仿宋" w:eastAsia="仿宋" w:cs="仿宋"/>
          <w:bCs/>
          <w:sz w:val="24"/>
          <w:szCs w:val="24"/>
          <w:highlight w:val="none"/>
        </w:rPr>
        <w:t>服务内容（包括工作区域、工作内容等）</w:t>
      </w:r>
    </w:p>
    <w:p w14:paraId="6DD2AF8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工作区域：西</w:t>
      </w:r>
      <w:r>
        <w:rPr>
          <w:rFonts w:hint="eastAsia" w:ascii="仿宋" w:hAnsi="仿宋" w:eastAsia="仿宋" w:cs="仿宋"/>
          <w:sz w:val="24"/>
          <w:szCs w:val="24"/>
          <w:highlight w:val="none"/>
          <w:lang w:eastAsia="zh-CN"/>
        </w:rPr>
        <w:t>安北站</w:t>
      </w:r>
      <w:r>
        <w:rPr>
          <w:rFonts w:hint="eastAsia" w:ascii="仿宋" w:hAnsi="仿宋" w:eastAsia="仿宋" w:cs="仿宋"/>
          <w:sz w:val="24"/>
          <w:szCs w:val="24"/>
          <w:highlight w:val="none"/>
          <w:lang w:val="en-US" w:eastAsia="zh-CN"/>
        </w:rPr>
        <w:t>。</w:t>
      </w:r>
    </w:p>
    <w:p w14:paraId="38B1020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工作内容：包括秩序管控、客流疏导、旅客服务、</w:t>
      </w:r>
      <w:r>
        <w:rPr>
          <w:rFonts w:hint="eastAsia" w:ascii="仿宋" w:hAnsi="仿宋" w:eastAsia="仿宋" w:cs="仿宋"/>
          <w:color w:val="auto"/>
          <w:sz w:val="24"/>
          <w:szCs w:val="24"/>
          <w:highlight w:val="none"/>
          <w:lang w:val="en-US" w:eastAsia="zh-CN"/>
        </w:rPr>
        <w:t>治安巡查、应急处突</w:t>
      </w:r>
      <w:r>
        <w:rPr>
          <w:rFonts w:hint="eastAsia" w:ascii="仿宋" w:hAnsi="仿宋" w:eastAsia="仿宋" w:cs="仿宋"/>
          <w:color w:val="auto"/>
          <w:sz w:val="24"/>
          <w:szCs w:val="24"/>
          <w:highlight w:val="none"/>
          <w:lang w:eastAsia="zh-CN"/>
        </w:rPr>
        <w:t>（如</w:t>
      </w:r>
      <w:r>
        <w:rPr>
          <w:rFonts w:hint="eastAsia" w:ascii="仿宋" w:hAnsi="仿宋" w:eastAsia="仿宋" w:cs="仿宋"/>
          <w:color w:val="auto"/>
          <w:sz w:val="24"/>
          <w:szCs w:val="24"/>
          <w:highlight w:val="none"/>
          <w:lang w:val="en-US" w:eastAsia="zh-CN"/>
        </w:rPr>
        <w:t>旅客滞留、</w:t>
      </w:r>
      <w:r>
        <w:rPr>
          <w:rFonts w:hint="eastAsia" w:ascii="仿宋" w:hAnsi="仿宋" w:eastAsia="仿宋" w:cs="仿宋"/>
          <w:color w:val="auto"/>
          <w:sz w:val="24"/>
          <w:szCs w:val="24"/>
          <w:highlight w:val="none"/>
          <w:lang w:eastAsia="zh-CN"/>
        </w:rPr>
        <w:t>医疗救援</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群体性事件、自然灾害等）</w:t>
      </w:r>
      <w:r>
        <w:rPr>
          <w:rFonts w:hint="eastAsia" w:ascii="仿宋" w:hAnsi="仿宋" w:eastAsia="仿宋" w:cs="仿宋"/>
          <w:sz w:val="24"/>
          <w:szCs w:val="24"/>
          <w:highlight w:val="none"/>
          <w:lang w:val="en-US" w:eastAsia="zh-CN"/>
        </w:rPr>
        <w:t>等，确保西安北站大客流服务保障工作顺利开展</w:t>
      </w:r>
      <w:r>
        <w:rPr>
          <w:rFonts w:hint="eastAsia" w:ascii="仿宋" w:hAnsi="仿宋" w:eastAsia="仿宋" w:cs="仿宋"/>
          <w:sz w:val="24"/>
          <w:szCs w:val="24"/>
          <w:highlight w:val="none"/>
          <w:lang w:eastAsia="zh-CN"/>
        </w:rPr>
        <w:t>及周边区域治安状况良好。</w:t>
      </w:r>
      <w:r>
        <w:rPr>
          <w:rFonts w:hint="eastAsia" w:ascii="仿宋" w:hAnsi="仿宋" w:eastAsia="仿宋" w:cs="仿宋"/>
          <w:sz w:val="24"/>
          <w:szCs w:val="24"/>
          <w:highlight w:val="none"/>
          <w:lang w:val="en-US" w:eastAsia="zh-CN"/>
        </w:rPr>
        <w:t>具体工作内容最终以</w:t>
      </w:r>
      <w:r>
        <w:rPr>
          <w:rFonts w:hint="eastAsia" w:ascii="仿宋" w:hAnsi="仿宋" w:eastAsia="仿宋" w:cs="仿宋"/>
          <w:sz w:val="24"/>
          <w:szCs w:val="24"/>
          <w:highlight w:val="none"/>
          <w:lang w:eastAsia="zh-CN"/>
        </w:rPr>
        <w:t>甲方根据</w:t>
      </w:r>
      <w:r>
        <w:rPr>
          <w:rFonts w:hint="eastAsia" w:ascii="仿宋" w:hAnsi="仿宋" w:eastAsia="仿宋" w:cs="仿宋"/>
          <w:sz w:val="24"/>
          <w:szCs w:val="24"/>
          <w:highlight w:val="none"/>
          <w:lang w:val="en-US" w:eastAsia="zh-CN"/>
        </w:rPr>
        <w:t>大客流服务保障工作</w:t>
      </w:r>
      <w:r>
        <w:rPr>
          <w:rFonts w:hint="eastAsia" w:ascii="仿宋" w:hAnsi="仿宋" w:eastAsia="仿宋" w:cs="仿宋"/>
          <w:sz w:val="24"/>
          <w:szCs w:val="24"/>
          <w:highlight w:val="none"/>
          <w:lang w:eastAsia="zh-CN"/>
        </w:rPr>
        <w:t>实际</w:t>
      </w:r>
      <w:r>
        <w:rPr>
          <w:rFonts w:hint="eastAsia" w:ascii="仿宋" w:hAnsi="仿宋" w:eastAsia="仿宋" w:cs="仿宋"/>
          <w:sz w:val="24"/>
          <w:szCs w:val="24"/>
          <w:highlight w:val="none"/>
          <w:lang w:val="en-US" w:eastAsia="zh-CN"/>
        </w:rPr>
        <w:t>需求，</w:t>
      </w:r>
      <w:r>
        <w:rPr>
          <w:rFonts w:hint="eastAsia" w:ascii="仿宋" w:hAnsi="仿宋" w:eastAsia="仿宋" w:cs="仿宋"/>
          <w:sz w:val="24"/>
          <w:szCs w:val="24"/>
          <w:highlight w:val="none"/>
          <w:lang w:eastAsia="zh-CN"/>
        </w:rPr>
        <w:t>进行</w:t>
      </w:r>
      <w:r>
        <w:rPr>
          <w:rFonts w:hint="eastAsia" w:ascii="仿宋" w:hAnsi="仿宋" w:eastAsia="仿宋" w:cs="仿宋"/>
          <w:sz w:val="24"/>
          <w:szCs w:val="24"/>
          <w:highlight w:val="none"/>
          <w:lang w:val="en-US" w:eastAsia="zh-CN"/>
        </w:rPr>
        <w:t>具体明确及</w:t>
      </w:r>
      <w:r>
        <w:rPr>
          <w:rFonts w:hint="eastAsia" w:ascii="仿宋" w:hAnsi="仿宋" w:eastAsia="仿宋" w:cs="仿宋"/>
          <w:sz w:val="24"/>
          <w:szCs w:val="24"/>
          <w:highlight w:val="none"/>
          <w:lang w:eastAsia="zh-CN"/>
        </w:rPr>
        <w:t>细化。</w:t>
      </w:r>
    </w:p>
    <w:p w14:paraId="6C9542A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六</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服务要求（人员配置、专业设备、服务标准等）</w:t>
      </w:r>
    </w:p>
    <w:p w14:paraId="365840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 总体要求</w:t>
      </w:r>
    </w:p>
    <w:p w14:paraId="48302E8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1.甲方对本项目中的重要岗位的设置、安保人员管理有直接参与权和决定权。</w:t>
      </w:r>
    </w:p>
    <w:p w14:paraId="4996736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2.甲方有权提出更换不符合要求或损害甲方利益的安保人员。</w:t>
      </w:r>
    </w:p>
    <w:p w14:paraId="71298F6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3.乙方应针对本项目建立安保服务方案，以及组织架构、安保人员录用、管理等内容的规章制度。</w:t>
      </w:r>
    </w:p>
    <w:p w14:paraId="270938E3">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default"/>
          <w:highlight w:val="none"/>
          <w:lang w:val="en-US" w:eastAsia="zh-CN"/>
        </w:rPr>
      </w:pPr>
      <w:r>
        <w:rPr>
          <w:rFonts w:hint="eastAsia" w:ascii="仿宋" w:hAnsi="仿宋" w:eastAsia="仿宋" w:cs="仿宋"/>
          <w:snapToGrid w:val="0"/>
          <w:color w:val="000000"/>
          <w:spacing w:val="0"/>
          <w:kern w:val="0"/>
          <w:position w:val="0"/>
          <w:sz w:val="24"/>
          <w:szCs w:val="24"/>
          <w:highlight w:val="none"/>
          <w:lang w:val="en-US" w:eastAsia="zh-CN" w:bidi="ar-SA"/>
        </w:rPr>
        <w:t>4.乙方应为安保人员配备“制式”安保人员服装及统一的保安服务标志、保安器械等装备（至少包含安保巡逻车、应急车辆、安保指挥调度系统）。</w:t>
      </w:r>
    </w:p>
    <w:p w14:paraId="2AC5F9C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5.因服务单位为特殊目标单位，各类突发事件具有不确定性，处置须及时，乙方须在接到通知后10分钟内出动至少20人到达甲方指定地点。乙方应在服务区域3公里路程范围内有容纳不少于20人集中住宿(服务时间内），乙方投标时必须作出书面承诺函，并在服务开始前提供集中住宿证明材料。</w:t>
      </w:r>
    </w:p>
    <w:p w14:paraId="72311CE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napToGrid w:val="0"/>
          <w:color w:val="000000"/>
          <w:spacing w:val="0"/>
          <w:kern w:val="0"/>
          <w:position w:val="0"/>
          <w:sz w:val="24"/>
          <w:szCs w:val="24"/>
          <w:highlight w:val="none"/>
          <w:lang w:val="en-US" w:eastAsia="zh-CN" w:bidi="ar-SA"/>
        </w:rPr>
        <w:t>6.乙方应具备大型交通枢纽或其他公共场所旅客引导、秩序管控、交通疏导相关服务经验，有能力应急处置各类突发事件。</w:t>
      </w:r>
    </w:p>
    <w:p w14:paraId="35AA1C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 工作要求</w:t>
      </w:r>
    </w:p>
    <w:p w14:paraId="2B26D96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1.安保人员应接受甲方的监督，在甲方的监督下开展大客流服务保障工作，必须遵守甲方的各项规章制度。</w:t>
      </w:r>
    </w:p>
    <w:p w14:paraId="620D0BE2">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2.乙方应在安保人员上岗前组织培训教育，确保安保人员熟悉服务区域的基础服务设施和业务知识。</w:t>
      </w:r>
    </w:p>
    <w:p w14:paraId="50E007F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3.乙方应指派专职人员进行工作接洽和日常工作管理，并派管理人员对安保人员进行经常性的检查督促及教育培训。</w:t>
      </w:r>
    </w:p>
    <w:p w14:paraId="1F4DA2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napToGrid w:val="0"/>
          <w:color w:val="000000"/>
          <w:spacing w:val="0"/>
          <w:kern w:val="0"/>
          <w:position w:val="0"/>
          <w:sz w:val="24"/>
          <w:szCs w:val="24"/>
          <w:highlight w:val="none"/>
          <w:lang w:val="en-US" w:eastAsia="zh-CN" w:bidi="ar-SA"/>
        </w:rPr>
        <w:t>4.甲方可根据项目实际对相关工作要求进行具体明确及细化。</w:t>
      </w:r>
    </w:p>
    <w:p w14:paraId="3DDBB3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xml:space="preserve">3 </w:t>
      </w:r>
      <w:r>
        <w:rPr>
          <w:rFonts w:hint="eastAsia" w:ascii="仿宋" w:hAnsi="仿宋" w:eastAsia="仿宋" w:cs="仿宋"/>
          <w:b/>
          <w:bCs/>
          <w:sz w:val="24"/>
          <w:szCs w:val="24"/>
          <w:highlight w:val="none"/>
          <w:lang w:eastAsia="zh-CN"/>
        </w:rPr>
        <w:t>人员配置</w:t>
      </w:r>
      <w:r>
        <w:rPr>
          <w:rFonts w:hint="eastAsia" w:ascii="仿宋" w:hAnsi="仿宋" w:eastAsia="仿宋" w:cs="仿宋"/>
          <w:b/>
          <w:bCs/>
          <w:sz w:val="24"/>
          <w:szCs w:val="24"/>
          <w:highlight w:val="none"/>
          <w:lang w:val="en-US" w:eastAsia="zh-CN"/>
        </w:rPr>
        <w:t>要求</w:t>
      </w:r>
    </w:p>
    <w:p w14:paraId="167EC5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1.安保人员具体岗位设置</w:t>
      </w:r>
    </w:p>
    <w:p w14:paraId="7BFE70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（1）本项目服务时间每日派驻安保人员总数暂定为100人，应包括项目总负责人、队长、组长等岗位，具体岗位设置以甲方的指令为准。</w:t>
      </w:r>
    </w:p>
    <w:p w14:paraId="6239D3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本项目应配备后勤保障组，负责安排安保人员的食宿、应急医疗等，包括一名具备基本的医疗知识、救援技能（心肺复苏、创口止血、紧急包扎）、熟练掌握急救措施的卫生员，负责对工作过程中发生伤病的安保人员进行紧急救治。</w:t>
      </w:r>
    </w:p>
    <w:p w14:paraId="61366C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2.人员素质要求</w:t>
      </w:r>
    </w:p>
    <w:p w14:paraId="745230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（1）身体健康，无纹身,无传染性疾病，五官端正，年满18周岁以上，40周岁以下的男性中国公民（项目总负责人不受年龄限制）。</w:t>
      </w:r>
    </w:p>
    <w:p w14:paraId="2473C5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（2）上岗前需提供无犯罪记录证明材料（项目总负责人需有相关安保服务管理工作经验，有较强的组织能力、协调沟通能力）。</w:t>
      </w:r>
      <w:r>
        <w:rPr>
          <w:rFonts w:hint="eastAsia" w:ascii="仿宋" w:hAnsi="仿宋" w:eastAsia="仿宋" w:cs="仿宋"/>
          <w:color w:val="auto"/>
          <w:sz w:val="24"/>
          <w:szCs w:val="24"/>
          <w:highlight w:val="none"/>
          <w:lang w:val="en-US" w:eastAsia="zh-CN"/>
        </w:rPr>
        <w:br w:type="textWrapping"/>
      </w:r>
      <w:r>
        <w:rPr>
          <w:rFonts w:hint="eastAsia" w:ascii="仿宋" w:hAnsi="仿宋" w:eastAsia="仿宋" w:cs="仿宋"/>
          <w:color w:val="auto"/>
          <w:sz w:val="24"/>
          <w:szCs w:val="24"/>
          <w:highlight w:val="none"/>
          <w:lang w:val="en-US" w:eastAsia="zh-CN"/>
        </w:rPr>
        <w:t xml:space="preserve">    （3）安保人员应具备良好的职业素养、沟通协调能力和服务礼仪知识，具备从事大型公共场所安保工作的经验。</w:t>
      </w:r>
    </w:p>
    <w:p w14:paraId="7FE620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3.人员管理要求</w:t>
      </w:r>
    </w:p>
    <w:p w14:paraId="4BA9AA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（1）乙方应对所派出的安保人员进行严格审查,必须保证上岗时安保人员均持有公安机关颁发的《保安员证》。</w:t>
      </w:r>
    </w:p>
    <w:p w14:paraId="5C6022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（2）乙方必须严格按照国家、陕西省、西安市的相关劳动法规和保险条例，为安保人员购买商业保险，并提供完善的劳动权益保障。</w:t>
      </w:r>
    </w:p>
    <w:p w14:paraId="0B5FEC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（3）乙方必须依法与安保人员签订劳动用工合同。</w:t>
      </w:r>
    </w:p>
    <w:p w14:paraId="4C0BCB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（4）乙方在日常管理中要建立交接班、请（休）假等登记等制度，甲方有权查阅记录。如因安保人员的请休假、撤换和辞退等因素造成保安人数的空缺，乙方应立即予以补充。</w:t>
      </w:r>
    </w:p>
    <w:p w14:paraId="34753F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甲方与乙方为合同关系，甲方与派驻安保人员不发生任何劳动和雇佣关系，派驻安保人员由乙方自行管理负责。若发生劳动争议，上下班途中或工作期间出现伤、病、残、肇事及意外死亡等其他情况时，以及在服务期间造成第三人损害，均由乙方负全责。</w:t>
      </w:r>
    </w:p>
    <w:p w14:paraId="5BAAC9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乙方就本项目所派驻的全部安保人员应专职服务本项目,如遇特殊情况需临时调整，须报请甲方同意，并确保本项目正常运行。</w:t>
      </w:r>
    </w:p>
    <w:p w14:paraId="17C678C0">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四、双方的权利与义务</w:t>
      </w:r>
    </w:p>
    <w:p w14:paraId="2330288E">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（一）甲方的权利与义务</w:t>
      </w:r>
    </w:p>
    <w:p w14:paraId="15C3E111">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1.甲方单位领导及安全保卫部有权指导乙方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的各项工作，监督乙方合同执行效果。</w:t>
      </w:r>
    </w:p>
    <w:p w14:paraId="08553820">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2.支持、确定</w:t>
      </w:r>
      <w:r>
        <w:rPr>
          <w:rFonts w:hint="eastAsia" w:ascii="仿宋" w:hAnsi="仿宋" w:eastAsia="仿宋" w:cs="仿宋"/>
          <w:sz w:val="24"/>
          <w:szCs w:val="24"/>
          <w:highlight w:val="none"/>
          <w:lang w:val="en-US" w:eastAsia="zh-CN"/>
        </w:rPr>
        <w:t>安保人员</w:t>
      </w:r>
      <w:r>
        <w:rPr>
          <w:rFonts w:hint="eastAsia" w:ascii="仿宋" w:hAnsi="仿宋" w:eastAsia="仿宋" w:cs="仿宋"/>
          <w:sz w:val="24"/>
          <w:szCs w:val="24"/>
          <w:highlight w:val="none"/>
        </w:rPr>
        <w:t>贯彻执行服务区域内各项安全操作规范制度，教育本</w:t>
      </w:r>
      <w:r>
        <w:rPr>
          <w:rFonts w:hint="eastAsia" w:ascii="仿宋" w:hAnsi="仿宋" w:eastAsia="仿宋" w:cs="仿宋"/>
          <w:sz w:val="24"/>
          <w:szCs w:val="24"/>
          <w:highlight w:val="none"/>
          <w:lang w:val="en-US" w:eastAsia="zh-CN"/>
        </w:rPr>
        <w:t>方</w:t>
      </w:r>
      <w:r>
        <w:rPr>
          <w:rFonts w:hint="eastAsia" w:ascii="仿宋" w:hAnsi="仿宋" w:eastAsia="仿宋" w:cs="仿宋"/>
          <w:sz w:val="24"/>
          <w:szCs w:val="24"/>
          <w:highlight w:val="none"/>
        </w:rPr>
        <w:t>职工接受安保检查管理。</w:t>
      </w:r>
    </w:p>
    <w:p w14:paraId="0349B2BB">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3.甲方有权检查乙方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的劳动合同及社会保险凭证，有权要求乙方更换不合格</w:t>
      </w:r>
      <w:r>
        <w:rPr>
          <w:rFonts w:hint="eastAsia" w:ascii="仿宋" w:hAnsi="仿宋" w:eastAsia="仿宋" w:cs="仿宋"/>
          <w:sz w:val="24"/>
          <w:szCs w:val="24"/>
          <w:highlight w:val="none"/>
          <w:lang w:val="en-US" w:eastAsia="zh-CN"/>
        </w:rPr>
        <w:t>安保人员</w:t>
      </w:r>
      <w:r>
        <w:rPr>
          <w:rFonts w:hint="eastAsia" w:ascii="仿宋" w:hAnsi="仿宋" w:eastAsia="仿宋" w:cs="仿宋"/>
          <w:sz w:val="24"/>
          <w:szCs w:val="24"/>
          <w:highlight w:val="none"/>
        </w:rPr>
        <w:t>。</w:t>
      </w:r>
    </w:p>
    <w:p w14:paraId="6FE22521">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4.对优秀</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及时表扬，对有重大贡献的</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，甲方将给予奖励。</w:t>
      </w:r>
    </w:p>
    <w:p w14:paraId="2A3E054D">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5.甲方有权对无效服务跟踪全程进行处罚通告。</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6.甲方有权对进入服务区内</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进行年龄核对，以身份证为准。</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7.甲方有权对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进行合理询问，依据合同检查是否执行岗位服务内容。</w:t>
      </w:r>
    </w:p>
    <w:p w14:paraId="7F4A13B3">
      <w:pPr>
        <w:keepNext w:val="0"/>
        <w:keepLines w:val="0"/>
        <w:pageBreakBefore w:val="0"/>
        <w:shd w:val="clear" w:color="auto" w:fill="auto"/>
        <w:tabs>
          <w:tab w:val="left" w:pos="735"/>
        </w:tabs>
        <w:wordWrap/>
        <w:overflowPunct/>
        <w:topLinePunct w:val="0"/>
        <w:autoSpaceDE w:val="0"/>
        <w:autoSpaceDN w:val="0"/>
        <w:bidi w:val="0"/>
        <w:adjustRightInd w:val="0"/>
        <w:snapToGrid w:val="0"/>
        <w:spacing w:line="360" w:lineRule="auto"/>
        <w:ind w:firstLine="631"/>
        <w:rPr>
          <w:rFonts w:hint="eastAsia" w:ascii="仿宋" w:hAnsi="仿宋" w:eastAsia="仿宋" w:cs="仿宋"/>
          <w:sz w:val="24"/>
          <w:szCs w:val="24"/>
          <w:highlight w:val="none"/>
        </w:rPr>
      </w:pPr>
      <w:r>
        <w:rPr>
          <w:rFonts w:hint="eastAsia" w:ascii="仿宋" w:hAnsi="仿宋" w:eastAsia="仿宋" w:cs="仿宋"/>
          <w:b/>
          <w:bCs w:val="0"/>
          <w:sz w:val="24"/>
          <w:szCs w:val="24"/>
          <w:highlight w:val="none"/>
        </w:rPr>
        <w:t>（二）乙方的权利与义务</w:t>
      </w:r>
    </w:p>
    <w:p w14:paraId="5F55F0D2">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1.乙方的工作人员必须严格遵守甲方的规章制度，以良好的形象和积极的工作态度，按甲方要求开展工作；</w:t>
      </w:r>
    </w:p>
    <w:p w14:paraId="38597C75">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2.乙方为甲方提供的</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必须符合保安服务总公司的要求，培训达标后持证上岗；</w:t>
      </w:r>
    </w:p>
    <w:p w14:paraId="431DC47C">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3.乙方应遵照《劳动法》，与</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签订劳动合同，应根据《劳动法》、《工伤保险条例》等法律法规规定，为</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提供社会保险等福利，并向</w:t>
      </w:r>
      <w:r>
        <w:rPr>
          <w:rFonts w:hint="eastAsia" w:ascii="仿宋" w:hAnsi="仿宋" w:eastAsia="仿宋" w:cs="仿宋"/>
          <w:bCs/>
          <w:sz w:val="24"/>
          <w:szCs w:val="24"/>
          <w:highlight w:val="none"/>
          <w:lang w:eastAsia="zh-CN"/>
        </w:rPr>
        <w:t>甲方</w:t>
      </w:r>
      <w:r>
        <w:rPr>
          <w:rFonts w:hint="eastAsia" w:ascii="仿宋" w:hAnsi="仿宋" w:eastAsia="仿宋" w:cs="仿宋"/>
          <w:bCs/>
          <w:sz w:val="24"/>
          <w:szCs w:val="24"/>
          <w:highlight w:val="none"/>
        </w:rPr>
        <w:t>提供劳动合同、社会保险原件，经甲方确认后，由甲方留存劳动合同、社会保险复印件；</w:t>
      </w:r>
    </w:p>
    <w:p w14:paraId="1F4E4CDD">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4.乙方应严格执行《保安服务操作规程与质量控制》、《保安员职业道德规范》，严格履行甲方的《安全保障部服务操作规范标准》；</w:t>
      </w:r>
    </w:p>
    <w:p w14:paraId="29D8BAB7">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5.乙方</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凡违反《安全保障部服务操作标准》、《保安服务操做规程与质量控制》、《保安员职业道德规范》中岗位要求及附件中各项规章制度规定，甲方经乙方确认后，扣除</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当日服务费的50%；</w:t>
      </w:r>
    </w:p>
    <w:p w14:paraId="16169664">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6.</w:t>
      </w:r>
      <w:r>
        <w:rPr>
          <w:rFonts w:hint="eastAsia" w:ascii="仿宋" w:hAnsi="仿宋" w:eastAsia="仿宋" w:cs="仿宋"/>
          <w:bCs/>
          <w:sz w:val="24"/>
          <w:szCs w:val="24"/>
          <w:highlight w:val="none"/>
          <w:lang w:val="en-US" w:eastAsia="zh-CN"/>
        </w:rPr>
        <w:t>满</w:t>
      </w:r>
      <w:r>
        <w:rPr>
          <w:rFonts w:hint="eastAsia" w:ascii="仿宋" w:hAnsi="仿宋" w:eastAsia="仿宋" w:cs="仿宋"/>
          <w:bCs/>
          <w:sz w:val="24"/>
          <w:szCs w:val="24"/>
          <w:highlight w:val="none"/>
        </w:rPr>
        <w:t>足甲方安保人数和服务质量要求，经甲方与乙方双方安保负责人确认，对达不到《保安服务操作规程</w:t>
      </w:r>
      <w:r>
        <w:rPr>
          <w:rFonts w:hint="eastAsia" w:ascii="仿宋" w:hAnsi="仿宋" w:eastAsia="仿宋" w:cs="仿宋"/>
          <w:bCs/>
          <w:sz w:val="24"/>
          <w:szCs w:val="24"/>
          <w:highlight w:val="none"/>
          <w:lang w:val="en-US" w:eastAsia="zh-CN"/>
        </w:rPr>
        <w:t>与</w:t>
      </w:r>
      <w:r>
        <w:rPr>
          <w:rFonts w:hint="eastAsia" w:ascii="仿宋" w:hAnsi="仿宋" w:eastAsia="仿宋" w:cs="仿宋"/>
          <w:bCs/>
          <w:sz w:val="24"/>
          <w:szCs w:val="24"/>
          <w:highlight w:val="none"/>
        </w:rPr>
        <w:t>质量控制》及本项目采购要求所述条件要求的人员进行更换；</w:t>
      </w:r>
    </w:p>
    <w:p w14:paraId="6BC0AC09">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7.</w:t>
      </w:r>
      <w:r>
        <w:rPr>
          <w:rFonts w:hint="eastAsia" w:ascii="仿宋" w:hAnsi="仿宋" w:eastAsia="仿宋" w:cs="仿宋"/>
          <w:bCs/>
          <w:sz w:val="24"/>
          <w:szCs w:val="24"/>
          <w:highlight w:val="none"/>
          <w:lang w:eastAsia="zh-CN"/>
        </w:rPr>
        <w:t>安保人员</w:t>
      </w:r>
      <w:r>
        <w:rPr>
          <w:rFonts w:hint="eastAsia" w:ascii="仿宋" w:hAnsi="仿宋" w:eastAsia="仿宋" w:cs="仿宋"/>
          <w:bCs/>
          <w:sz w:val="24"/>
          <w:szCs w:val="24"/>
          <w:highlight w:val="none"/>
        </w:rPr>
        <w:t>应做好</w:t>
      </w:r>
      <w:r>
        <w:rPr>
          <w:rFonts w:hint="eastAsia" w:ascii="仿宋" w:hAnsi="仿宋" w:eastAsia="仿宋" w:cs="仿宋"/>
          <w:bCs/>
          <w:sz w:val="24"/>
          <w:szCs w:val="24"/>
          <w:highlight w:val="none"/>
          <w:lang w:val="en-US" w:eastAsia="zh-CN"/>
        </w:rPr>
        <w:t>负责区域内</w:t>
      </w:r>
      <w:r>
        <w:rPr>
          <w:rFonts w:hint="eastAsia" w:ascii="仿宋" w:hAnsi="仿宋" w:eastAsia="仿宋" w:cs="仿宋"/>
          <w:bCs/>
          <w:sz w:val="24"/>
          <w:szCs w:val="24"/>
          <w:highlight w:val="none"/>
        </w:rPr>
        <w:t>安全保障工作，加强区域内的巡视，防止</w:t>
      </w:r>
      <w:r>
        <w:rPr>
          <w:rFonts w:hint="eastAsia" w:ascii="仿宋" w:hAnsi="仿宋" w:eastAsia="仿宋" w:cs="仿宋"/>
          <w:bCs/>
          <w:sz w:val="24"/>
          <w:szCs w:val="24"/>
          <w:highlight w:val="none"/>
          <w:lang w:val="en-US" w:eastAsia="zh-CN"/>
        </w:rPr>
        <w:t>场馆</w:t>
      </w:r>
      <w:r>
        <w:rPr>
          <w:rFonts w:hint="eastAsia" w:ascii="仿宋" w:hAnsi="仿宋" w:eastAsia="仿宋" w:cs="仿宋"/>
          <w:bCs/>
          <w:sz w:val="24"/>
          <w:szCs w:val="24"/>
          <w:highlight w:val="none"/>
        </w:rPr>
        <w:t>内设备设施及相关物品丢失；根据</w:t>
      </w:r>
      <w:r>
        <w:rPr>
          <w:rFonts w:hint="eastAsia" w:ascii="仿宋" w:hAnsi="仿宋" w:eastAsia="仿宋" w:cs="仿宋"/>
          <w:bCs/>
          <w:sz w:val="24"/>
          <w:szCs w:val="24"/>
          <w:highlight w:val="none"/>
          <w:lang w:eastAsia="zh-CN"/>
        </w:rPr>
        <w:t>甲方</w:t>
      </w:r>
      <w:r>
        <w:rPr>
          <w:rFonts w:hint="eastAsia" w:ascii="仿宋" w:hAnsi="仿宋" w:eastAsia="仿宋" w:cs="仿宋"/>
          <w:bCs/>
          <w:sz w:val="24"/>
          <w:szCs w:val="24"/>
          <w:highlight w:val="none"/>
        </w:rPr>
        <w:t>不同区域的不同特点，做好防火、防盗、防破坏工作，如遇紧急事件，及时向相关领导汇报；</w:t>
      </w:r>
    </w:p>
    <w:p w14:paraId="3B8E343E">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8.</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bCs/>
          <w:sz w:val="24"/>
          <w:szCs w:val="24"/>
          <w:highlight w:val="none"/>
        </w:rPr>
        <w:t>应详细做好交接班记录及</w:t>
      </w:r>
      <w:r>
        <w:rPr>
          <w:rFonts w:hint="eastAsia" w:ascii="仿宋" w:hAnsi="仿宋" w:eastAsia="仿宋" w:cs="仿宋"/>
          <w:bCs/>
          <w:sz w:val="24"/>
          <w:szCs w:val="24"/>
          <w:highlight w:val="none"/>
          <w:lang w:val="en-US" w:eastAsia="zh-CN"/>
        </w:rPr>
        <w:t>旅客</w:t>
      </w:r>
      <w:r>
        <w:rPr>
          <w:rFonts w:hint="eastAsia" w:ascii="仿宋" w:hAnsi="仿宋" w:eastAsia="仿宋" w:cs="仿宋"/>
          <w:bCs/>
          <w:sz w:val="24"/>
          <w:szCs w:val="24"/>
          <w:highlight w:val="none"/>
        </w:rPr>
        <w:t>登记工作，认真核对交接物品及值岗期间的一切工作情况；</w:t>
      </w:r>
    </w:p>
    <w:p w14:paraId="1A0A2DE0">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9.乙方安保队长应每日就日常性工作与甲方保持联系，对当日工作进行书面总结；</w:t>
      </w:r>
    </w:p>
    <w:p w14:paraId="02B3EA5C">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10. 乙方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bCs/>
          <w:sz w:val="24"/>
          <w:szCs w:val="24"/>
          <w:highlight w:val="none"/>
        </w:rPr>
        <w:t>在甲方服务区域内违法、犯罪，乙方应负全部责任；</w:t>
      </w:r>
    </w:p>
    <w:p w14:paraId="0A07E542">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1</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rPr>
        <w:t>.对甲方区域内的不安全隐患应及时提出书面建议并积极配合改进、解决。</w:t>
      </w:r>
    </w:p>
    <w:p w14:paraId="5ECC9F3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五、质量保证</w:t>
      </w:r>
    </w:p>
    <w:p w14:paraId="1A13D5D7">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安保人员应严格执行《保安服务操作规程与质量控制》，严格执行《保安员职业道德规范》为</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提供优质服务。</w:t>
      </w:r>
    </w:p>
    <w:p w14:paraId="42AE098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六、保密规定</w:t>
      </w:r>
    </w:p>
    <w:p w14:paraId="6F5DB48C">
      <w:pPr>
        <w:keepNext w:val="0"/>
        <w:keepLines w:val="0"/>
        <w:pageBreakBefore w:val="0"/>
        <w:shd w:val="clear" w:color="auto" w:fill="auto"/>
        <w:wordWrap/>
        <w:overflowPunct/>
        <w:topLinePunct w:val="0"/>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411AB1A7">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七、违约责任</w:t>
      </w:r>
    </w:p>
    <w:p w14:paraId="341BD09D">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（一）按《</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》中的相关条款执行。</w:t>
      </w:r>
    </w:p>
    <w:p w14:paraId="5DCB428A">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（二）未按合同要求提供服务或服务质量不能满足本次采购要求，</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会同监督机构、采购代理机构有权终止合同和对中标人违约行为进行追究，同时按政府采购法的有关规定进行相应的处罚。</w:t>
      </w:r>
    </w:p>
    <w:p w14:paraId="39E0F30B">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八、其它事项</w:t>
      </w:r>
    </w:p>
    <w:p w14:paraId="05F49106">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（一）乙方不得转让、分包给其它单位或个人。</w:t>
      </w:r>
    </w:p>
    <w:p w14:paraId="5112823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（二）乙方的</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文件和承诺等内容将列入合同。</w:t>
      </w:r>
    </w:p>
    <w:p w14:paraId="0599686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九、合同争议解决的方式</w:t>
      </w:r>
    </w:p>
    <w:p w14:paraId="7F1F1574">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本合同在履行过程中发生的争议，由甲、乙双方当事人协商解决，协商不成的按下列</w:t>
      </w:r>
      <w:r>
        <w:rPr>
          <w:rFonts w:hint="eastAsia" w:ascii="仿宋" w:hAnsi="仿宋" w:eastAsia="仿宋" w:cs="仿宋"/>
          <w:sz w:val="24"/>
          <w:szCs w:val="24"/>
          <w:highlight w:val="none"/>
          <w:u w:val="single"/>
        </w:rPr>
        <w:t>第（</w:t>
      </w:r>
      <w:r>
        <w:rPr>
          <w:rFonts w:hint="eastAsia" w:ascii="仿宋" w:hAnsi="仿宋" w:eastAsia="仿宋" w:cs="仿宋"/>
          <w:sz w:val="24"/>
          <w:szCs w:val="24"/>
          <w:highlight w:val="none"/>
          <w:u w:val="single"/>
          <w:lang w:val="en-US" w:eastAsia="zh-CN"/>
        </w:rPr>
        <w:t>一</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种方式解决：</w:t>
      </w:r>
    </w:p>
    <w:p w14:paraId="3EF59B4D">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（一）提交西安仲裁委员会仲裁；</w:t>
      </w:r>
    </w:p>
    <w:p w14:paraId="5BF5A0E1">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（二）依法向甲方所在地人民法院起诉。</w:t>
      </w:r>
    </w:p>
    <w:p w14:paraId="4CAB62A1">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十、合同生效</w:t>
      </w:r>
    </w:p>
    <w:p w14:paraId="71B62EA1">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（一）本合同须经甲、乙双方的法定代表人（授权代理人）在合同书上签字并加盖本单位公章后正式生效。</w:t>
      </w:r>
    </w:p>
    <w:p w14:paraId="2B0832D9">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（二）合同生效后，甲、乙双方须严格执行本合同条款的规定，全面履行合同，违者按《中华人民共和国合同法》的有关规定承担相应责任。</w:t>
      </w:r>
    </w:p>
    <w:p w14:paraId="50655773">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（三）本合同一式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份，甲乙双方各执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w:t>
      </w:r>
    </w:p>
    <w:p w14:paraId="30C9D912">
      <w:pPr>
        <w:keepNext w:val="0"/>
        <w:keepLines w:val="0"/>
        <w:pageBreakBefore w:val="0"/>
        <w:shd w:val="clear" w:color="auto" w:fill="auto"/>
        <w:tabs>
          <w:tab w:val="left" w:pos="480"/>
        </w:tabs>
        <w:wordWrap/>
        <w:overflowPunct/>
        <w:topLinePunct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（四）本合同如有未尽事宜，甲、乙双方协商解决。</w:t>
      </w:r>
    </w:p>
    <w:p w14:paraId="630A67B4">
      <w:pPr>
        <w:pStyle w:val="2"/>
        <w:shd w:val="clear" w:color="auto" w:fill="auto"/>
        <w:rPr>
          <w:rFonts w:hint="eastAsia" w:ascii="仿宋" w:hAnsi="仿宋" w:eastAsia="仿宋" w:cs="仿宋"/>
          <w:sz w:val="24"/>
          <w:szCs w:val="24"/>
          <w:highlight w:val="none"/>
        </w:rPr>
      </w:pPr>
    </w:p>
    <w:tbl>
      <w:tblPr>
        <w:tblStyle w:val="5"/>
        <w:tblW w:w="0" w:type="auto"/>
        <w:jc w:val="center"/>
        <w:tblLayout w:type="fixed"/>
        <w:tblCellMar>
          <w:top w:w="0" w:type="dxa"/>
          <w:left w:w="108" w:type="dxa"/>
          <w:bottom w:w="0" w:type="dxa"/>
          <w:right w:w="108" w:type="dxa"/>
        </w:tblCellMar>
      </w:tblPr>
      <w:tblGrid>
        <w:gridCol w:w="4201"/>
        <w:gridCol w:w="4202"/>
      </w:tblGrid>
      <w:tr w14:paraId="4DC7E86C">
        <w:tblPrEx>
          <w:tblCellMar>
            <w:top w:w="0" w:type="dxa"/>
            <w:left w:w="108" w:type="dxa"/>
            <w:bottom w:w="0" w:type="dxa"/>
            <w:right w:w="108" w:type="dxa"/>
          </w:tblCellMar>
        </w:tblPrEx>
        <w:trPr>
          <w:trHeight w:val="680" w:hRule="exact"/>
          <w:jc w:val="center"/>
        </w:trPr>
        <w:tc>
          <w:tcPr>
            <w:tcW w:w="4201" w:type="dxa"/>
            <w:noWrap w:val="0"/>
            <w:vAlign w:val="center"/>
          </w:tcPr>
          <w:p w14:paraId="64A2B42A">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甲  方</w:t>
            </w:r>
          </w:p>
        </w:tc>
        <w:tc>
          <w:tcPr>
            <w:tcW w:w="4202" w:type="dxa"/>
            <w:noWrap w:val="0"/>
            <w:vAlign w:val="center"/>
          </w:tcPr>
          <w:p w14:paraId="406C1B4E">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乙  方</w:t>
            </w:r>
          </w:p>
        </w:tc>
      </w:tr>
      <w:tr w14:paraId="447E5E27">
        <w:tblPrEx>
          <w:tblCellMar>
            <w:top w:w="0" w:type="dxa"/>
            <w:left w:w="108" w:type="dxa"/>
            <w:bottom w:w="0" w:type="dxa"/>
            <w:right w:w="108" w:type="dxa"/>
          </w:tblCellMar>
        </w:tblPrEx>
        <w:trPr>
          <w:trHeight w:val="680" w:hRule="exact"/>
          <w:jc w:val="center"/>
        </w:trPr>
        <w:tc>
          <w:tcPr>
            <w:tcW w:w="4201" w:type="dxa"/>
            <w:noWrap w:val="0"/>
            <w:vAlign w:val="center"/>
          </w:tcPr>
          <w:p w14:paraId="6CF02E7D">
            <w:pPr>
              <w:shd w:val="clear" w:color="auto" w:fill="auto"/>
              <w:autoSpaceDE w:val="0"/>
              <w:autoSpaceDN w:val="0"/>
              <w:adjustRightInd w:val="0"/>
              <w:ind w:firstLine="700" w:firstLineChars="35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（盖章）</w:t>
            </w:r>
          </w:p>
        </w:tc>
        <w:tc>
          <w:tcPr>
            <w:tcW w:w="4202" w:type="dxa"/>
            <w:noWrap w:val="0"/>
            <w:vAlign w:val="center"/>
          </w:tcPr>
          <w:p w14:paraId="514C4DA4">
            <w:pPr>
              <w:shd w:val="clear" w:color="auto" w:fill="auto"/>
              <w:autoSpaceDE w:val="0"/>
              <w:autoSpaceDN w:val="0"/>
              <w:adjustRightInd w:val="0"/>
              <w:ind w:firstLine="800" w:firstLineChars="40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（盖章）</w:t>
            </w:r>
          </w:p>
        </w:tc>
      </w:tr>
      <w:tr w14:paraId="26E417EB">
        <w:tblPrEx>
          <w:tblCellMar>
            <w:top w:w="0" w:type="dxa"/>
            <w:left w:w="108" w:type="dxa"/>
            <w:bottom w:w="0" w:type="dxa"/>
            <w:right w:w="108" w:type="dxa"/>
          </w:tblCellMar>
        </w:tblPrEx>
        <w:trPr>
          <w:trHeight w:val="680" w:hRule="exact"/>
          <w:jc w:val="center"/>
        </w:trPr>
        <w:tc>
          <w:tcPr>
            <w:tcW w:w="4201" w:type="dxa"/>
            <w:noWrap w:val="0"/>
            <w:vAlign w:val="center"/>
          </w:tcPr>
          <w:p w14:paraId="67ED7CDC">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 xml:space="preserve">地址： </w:t>
            </w:r>
          </w:p>
        </w:tc>
        <w:tc>
          <w:tcPr>
            <w:tcW w:w="4202" w:type="dxa"/>
            <w:noWrap w:val="0"/>
            <w:vAlign w:val="center"/>
          </w:tcPr>
          <w:p w14:paraId="599EE561">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地址：</w:t>
            </w:r>
          </w:p>
        </w:tc>
      </w:tr>
      <w:tr w14:paraId="152B5BFE">
        <w:tblPrEx>
          <w:tblCellMar>
            <w:top w:w="0" w:type="dxa"/>
            <w:left w:w="108" w:type="dxa"/>
            <w:bottom w:w="0" w:type="dxa"/>
            <w:right w:w="108" w:type="dxa"/>
          </w:tblCellMar>
        </w:tblPrEx>
        <w:trPr>
          <w:trHeight w:val="680" w:hRule="exact"/>
          <w:jc w:val="center"/>
        </w:trPr>
        <w:tc>
          <w:tcPr>
            <w:tcW w:w="4201" w:type="dxa"/>
            <w:noWrap w:val="0"/>
            <w:vAlign w:val="center"/>
          </w:tcPr>
          <w:p w14:paraId="23617518">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邮编：</w:t>
            </w:r>
          </w:p>
        </w:tc>
        <w:tc>
          <w:tcPr>
            <w:tcW w:w="4202" w:type="dxa"/>
            <w:noWrap w:val="0"/>
            <w:vAlign w:val="center"/>
          </w:tcPr>
          <w:p w14:paraId="20E5B348">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邮编：</w:t>
            </w:r>
          </w:p>
        </w:tc>
      </w:tr>
      <w:tr w14:paraId="48CC0AA4">
        <w:tblPrEx>
          <w:tblCellMar>
            <w:top w:w="0" w:type="dxa"/>
            <w:left w:w="108" w:type="dxa"/>
            <w:bottom w:w="0" w:type="dxa"/>
            <w:right w:w="108" w:type="dxa"/>
          </w:tblCellMar>
        </w:tblPrEx>
        <w:trPr>
          <w:trHeight w:val="680" w:hRule="exact"/>
          <w:jc w:val="center"/>
        </w:trPr>
        <w:tc>
          <w:tcPr>
            <w:tcW w:w="4201" w:type="dxa"/>
            <w:noWrap w:val="0"/>
            <w:vAlign w:val="center"/>
          </w:tcPr>
          <w:p w14:paraId="10B6C3D8">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 xml:space="preserve">法定代表人 </w:t>
            </w:r>
          </w:p>
        </w:tc>
        <w:tc>
          <w:tcPr>
            <w:tcW w:w="4202" w:type="dxa"/>
            <w:noWrap w:val="0"/>
            <w:vAlign w:val="center"/>
          </w:tcPr>
          <w:p w14:paraId="26B641D9">
            <w:pPr>
              <w:shd w:val="clear" w:color="auto" w:fill="auto"/>
              <w:autoSpaceDE w:val="0"/>
              <w:autoSpaceDN w:val="0"/>
              <w:adjustRightInd w:val="0"/>
              <w:rPr>
                <w:rFonts w:hint="eastAsia" w:ascii="仿宋" w:hAnsi="仿宋" w:eastAsia="仿宋" w:cs="仿宋"/>
                <w:spacing w:val="-20"/>
                <w:kern w:val="0"/>
                <w:sz w:val="24"/>
                <w:szCs w:val="24"/>
                <w:highlight w:val="none"/>
                <w:lang w:eastAsia="zh-CN"/>
              </w:rPr>
            </w:pPr>
            <w:r>
              <w:rPr>
                <w:rFonts w:hint="eastAsia" w:ascii="仿宋" w:hAnsi="仿宋" w:eastAsia="仿宋" w:cs="仿宋"/>
                <w:spacing w:val="-20"/>
                <w:kern w:val="0"/>
                <w:sz w:val="24"/>
                <w:szCs w:val="24"/>
                <w:highlight w:val="none"/>
              </w:rPr>
              <w:t>法定代表人</w:t>
            </w:r>
          </w:p>
        </w:tc>
      </w:tr>
      <w:tr w14:paraId="3FB805B7">
        <w:tblPrEx>
          <w:tblCellMar>
            <w:top w:w="0" w:type="dxa"/>
            <w:left w:w="108" w:type="dxa"/>
            <w:bottom w:w="0" w:type="dxa"/>
            <w:right w:w="108" w:type="dxa"/>
          </w:tblCellMar>
        </w:tblPrEx>
        <w:trPr>
          <w:trHeight w:val="680" w:hRule="exact"/>
          <w:jc w:val="center"/>
        </w:trPr>
        <w:tc>
          <w:tcPr>
            <w:tcW w:w="4201" w:type="dxa"/>
            <w:noWrap w:val="0"/>
            <w:vAlign w:val="center"/>
          </w:tcPr>
          <w:p w14:paraId="668C30A0">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lang w:eastAsia="zh-CN"/>
              </w:rPr>
              <w:t>或</w:t>
            </w:r>
            <w:r>
              <w:rPr>
                <w:rFonts w:hint="eastAsia" w:ascii="仿宋" w:hAnsi="仿宋" w:eastAsia="仿宋" w:cs="仿宋"/>
                <w:spacing w:val="-20"/>
                <w:kern w:val="0"/>
                <w:sz w:val="24"/>
                <w:szCs w:val="24"/>
                <w:highlight w:val="none"/>
              </w:rPr>
              <w:t>授权代表：</w:t>
            </w:r>
          </w:p>
        </w:tc>
        <w:tc>
          <w:tcPr>
            <w:tcW w:w="4202" w:type="dxa"/>
            <w:noWrap w:val="0"/>
            <w:vAlign w:val="center"/>
          </w:tcPr>
          <w:p w14:paraId="3758969B">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lang w:eastAsia="zh-CN"/>
              </w:rPr>
              <w:t>或</w:t>
            </w:r>
            <w:r>
              <w:rPr>
                <w:rFonts w:hint="eastAsia" w:ascii="仿宋" w:hAnsi="仿宋" w:eastAsia="仿宋" w:cs="仿宋"/>
                <w:spacing w:val="-20"/>
                <w:kern w:val="0"/>
                <w:sz w:val="24"/>
                <w:szCs w:val="24"/>
                <w:highlight w:val="none"/>
              </w:rPr>
              <w:t>授权代表：</w:t>
            </w:r>
          </w:p>
        </w:tc>
      </w:tr>
      <w:tr w14:paraId="375E639E">
        <w:tblPrEx>
          <w:tblCellMar>
            <w:top w:w="0" w:type="dxa"/>
            <w:left w:w="108" w:type="dxa"/>
            <w:bottom w:w="0" w:type="dxa"/>
            <w:right w:w="108" w:type="dxa"/>
          </w:tblCellMar>
        </w:tblPrEx>
        <w:trPr>
          <w:trHeight w:val="680" w:hRule="exact"/>
          <w:jc w:val="center"/>
        </w:trPr>
        <w:tc>
          <w:tcPr>
            <w:tcW w:w="4201" w:type="dxa"/>
            <w:noWrap w:val="0"/>
            <w:vAlign w:val="center"/>
          </w:tcPr>
          <w:p w14:paraId="0926F9ED">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电话：</w:t>
            </w:r>
          </w:p>
        </w:tc>
        <w:tc>
          <w:tcPr>
            <w:tcW w:w="4202" w:type="dxa"/>
            <w:noWrap w:val="0"/>
            <w:vAlign w:val="center"/>
          </w:tcPr>
          <w:p w14:paraId="54EF878F">
            <w:pPr>
              <w:shd w:val="clear" w:color="auto" w:fill="auto"/>
              <w:autoSpaceDE w:val="0"/>
              <w:autoSpaceDN w:val="0"/>
              <w:adjustRightInd w:val="0"/>
              <w:ind w:left="840" w:hanging="600" w:hangingChars="30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电话：</w:t>
            </w:r>
          </w:p>
        </w:tc>
      </w:tr>
      <w:tr w14:paraId="3010E052">
        <w:tblPrEx>
          <w:tblCellMar>
            <w:top w:w="0" w:type="dxa"/>
            <w:left w:w="108" w:type="dxa"/>
            <w:bottom w:w="0" w:type="dxa"/>
            <w:right w:w="108" w:type="dxa"/>
          </w:tblCellMar>
        </w:tblPrEx>
        <w:trPr>
          <w:trHeight w:val="680" w:hRule="exact"/>
          <w:jc w:val="center"/>
        </w:trPr>
        <w:tc>
          <w:tcPr>
            <w:tcW w:w="4201" w:type="dxa"/>
            <w:noWrap w:val="0"/>
            <w:vAlign w:val="center"/>
          </w:tcPr>
          <w:p w14:paraId="7C2F9A21">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传真：</w:t>
            </w:r>
          </w:p>
        </w:tc>
        <w:tc>
          <w:tcPr>
            <w:tcW w:w="4202" w:type="dxa"/>
            <w:noWrap w:val="0"/>
            <w:vAlign w:val="center"/>
          </w:tcPr>
          <w:p w14:paraId="5ECC4A9B">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传真：</w:t>
            </w:r>
          </w:p>
        </w:tc>
      </w:tr>
      <w:tr w14:paraId="168AE462">
        <w:tblPrEx>
          <w:tblCellMar>
            <w:top w:w="0" w:type="dxa"/>
            <w:left w:w="108" w:type="dxa"/>
            <w:bottom w:w="0" w:type="dxa"/>
            <w:right w:w="108" w:type="dxa"/>
          </w:tblCellMar>
        </w:tblPrEx>
        <w:trPr>
          <w:trHeight w:val="680" w:hRule="exact"/>
          <w:jc w:val="center"/>
        </w:trPr>
        <w:tc>
          <w:tcPr>
            <w:tcW w:w="4201" w:type="dxa"/>
            <w:noWrap w:val="0"/>
            <w:vAlign w:val="center"/>
          </w:tcPr>
          <w:p w14:paraId="2300D806">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开户银行：</w:t>
            </w:r>
          </w:p>
        </w:tc>
        <w:tc>
          <w:tcPr>
            <w:tcW w:w="4202" w:type="dxa"/>
            <w:noWrap w:val="0"/>
            <w:vAlign w:val="center"/>
          </w:tcPr>
          <w:p w14:paraId="4A6AE7E1">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开户银行：</w:t>
            </w:r>
          </w:p>
        </w:tc>
      </w:tr>
      <w:tr w14:paraId="3EC796E9">
        <w:tblPrEx>
          <w:tblCellMar>
            <w:top w:w="0" w:type="dxa"/>
            <w:left w:w="108" w:type="dxa"/>
            <w:bottom w:w="0" w:type="dxa"/>
            <w:right w:w="108" w:type="dxa"/>
          </w:tblCellMar>
        </w:tblPrEx>
        <w:trPr>
          <w:trHeight w:val="680" w:hRule="exact"/>
          <w:jc w:val="center"/>
        </w:trPr>
        <w:tc>
          <w:tcPr>
            <w:tcW w:w="4201" w:type="dxa"/>
            <w:noWrap w:val="0"/>
            <w:vAlign w:val="center"/>
          </w:tcPr>
          <w:p w14:paraId="7D7BE80D">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日期：</w:t>
            </w:r>
          </w:p>
        </w:tc>
        <w:tc>
          <w:tcPr>
            <w:tcW w:w="4202" w:type="dxa"/>
            <w:noWrap w:val="0"/>
            <w:vAlign w:val="center"/>
          </w:tcPr>
          <w:p w14:paraId="6BC5CEDC">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日期：</w:t>
            </w:r>
          </w:p>
        </w:tc>
      </w:tr>
    </w:tbl>
    <w:p w14:paraId="576F214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BF3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2025-05-28T06:18:08Z</dcterms:created>
  <dc:creator>40696</dc:creator>
  <cp:lastModifiedBy>40696</cp:lastModifiedBy>
  <dcterms:modified xsi:type="dcterms:W3CDTF">2025-05-28T06:18:20Z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eyJoZGlkIjoiOTNlODE0YjMzMDE0OTA1NTUxYzk0ODBhOTU4NGEwMWYiLCJ1c2VySWQiOiIzMzA5ODk0NTAifQ==</vt:lpwstr>
  </property>
  <property fmtid="{D5CDD505-2E9C-101B-9397-08002B2CF9AE}" pid="4" name="ICV">
    <vt:lpwstr>D9DC691091E04450B1140BDF31042676_12</vt:lpwstr>
  </property>
</Properties>
</file>