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版本号：HJSX-202506-320250626002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元朔路（明光路东侧规划路-明光路东侧规划二路）南侧及文景路（元鼎路-北三环）西侧地块背景林苗木移栽项目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HJSX-202506-3</w:t>
      </w:r>
      <w:r>
        <w:br/>
      </w:r>
      <w:r>
        <w:br/>
      </w:r>
      <w:r>
        <w:br/>
      </w:r>
    </w:p>
    <w:p>
      <w:pPr>
        <w:pStyle w:val="null3"/>
        <w:jc w:val="center"/>
        <w:outlineLvl w:val="2"/>
      </w:pPr>
      <w:r>
        <w:rPr>
          <w:rFonts w:ascii="仿宋_GB2312" w:hAnsi="仿宋_GB2312" w:cs="仿宋_GB2312" w:eastAsia="仿宋_GB2312"/>
          <w:sz w:val="28"/>
          <w:b/>
        </w:rPr>
        <w:t>西安经济技术开发区住房和城乡建设局</w:t>
      </w:r>
    </w:p>
    <w:p>
      <w:pPr>
        <w:pStyle w:val="null3"/>
        <w:jc w:val="center"/>
        <w:outlineLvl w:val="2"/>
      </w:pPr>
      <w:r>
        <w:rPr>
          <w:rFonts w:ascii="仿宋_GB2312" w:hAnsi="仿宋_GB2312" w:cs="仿宋_GB2312" w:eastAsia="仿宋_GB2312"/>
          <w:sz w:val="28"/>
          <w:b/>
        </w:rPr>
        <w:t>瀚景项目管理有限公司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瀚景项目管理有限公司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西安经济技术开发区住房和城乡建设局</w:t>
      </w:r>
      <w:r>
        <w:rPr>
          <w:rFonts w:ascii="仿宋_GB2312" w:hAnsi="仿宋_GB2312" w:cs="仿宋_GB2312" w:eastAsia="仿宋_GB2312"/>
        </w:rPr>
        <w:t>委托，拟对</w:t>
      </w:r>
      <w:r>
        <w:rPr>
          <w:rFonts w:ascii="仿宋_GB2312" w:hAnsi="仿宋_GB2312" w:cs="仿宋_GB2312" w:eastAsia="仿宋_GB2312"/>
        </w:rPr>
        <w:t>元朔路（明光路东侧规划路-明光路东侧规划二路）南侧及文景路（元鼎路-北三环）西侧地块背景林苗木移栽项目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HJSX-202506-3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元朔路（明光路东侧规划路-明光路东侧规划二路）南侧及文景路（元鼎路-北三环）西侧地块背景林苗木移栽项目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元朔路(明光路东侧规划路-明光路东侧规划二路)南侧及文景路(元鼎路-北三环)西侧2个地块，共计约移栽乔木 545 株、丛生大灌木及灌木球 158株、灌木绿篱1465 ㎡。</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采购包1（元朔路（明光路东侧规划路-明光路东侧规划二路）南侧及文景路（元鼎路-北三环）西侧地块背景林苗木移栽项目）：属于专门面向中小企业采购。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1、营业执照：具有合格有效的企业法人营业执照、税务登记证、组织机构代码证（或三证合一营业执照）</w:t>
      </w:r>
    </w:p>
    <w:p>
      <w:pPr>
        <w:pStyle w:val="null3"/>
      </w:pPr>
      <w:r>
        <w:rPr>
          <w:rFonts w:ascii="仿宋_GB2312" w:hAnsi="仿宋_GB2312" w:cs="仿宋_GB2312" w:eastAsia="仿宋_GB2312"/>
        </w:rPr>
        <w:t>2、磋商响应单位代表身份：磋商响应单位应授权合法的人员参加磋商全过程，其中法定代表人直接参加磋商的，须出具法人身份证，并与营业执照上信息一致。法定代表人授权代表参加磋商的，须出具法定代表人授权书及授权代表身份证及授权代表社保证明</w:t>
      </w:r>
    </w:p>
    <w:p>
      <w:pPr>
        <w:pStyle w:val="null3"/>
      </w:pPr>
      <w:r>
        <w:rPr>
          <w:rFonts w:ascii="仿宋_GB2312" w:hAnsi="仿宋_GB2312" w:cs="仿宋_GB2312" w:eastAsia="仿宋_GB2312"/>
        </w:rPr>
        <w:t>3、项目经理：拟派项目经理须具备园林绿化相关专业中级或以上工程类职称，在本单位任职，且未担任其他在建工程项目的项目经理</w:t>
      </w:r>
    </w:p>
    <w:p>
      <w:pPr>
        <w:pStyle w:val="null3"/>
      </w:pPr>
      <w:r>
        <w:rPr>
          <w:rFonts w:ascii="仿宋_GB2312" w:hAnsi="仿宋_GB2312" w:cs="仿宋_GB2312" w:eastAsia="仿宋_GB2312"/>
        </w:rPr>
        <w:t>4、信用截图：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5、税收缴纳证明：提供2025年1月至今已缴纳的至少一个月的纳税证明或完税证明（任意税种），依法免税的单位应提供相关证明材料</w:t>
      </w:r>
    </w:p>
    <w:p>
      <w:pPr>
        <w:pStyle w:val="null3"/>
      </w:pPr>
      <w:r>
        <w:rPr>
          <w:rFonts w:ascii="仿宋_GB2312" w:hAnsi="仿宋_GB2312" w:cs="仿宋_GB2312" w:eastAsia="仿宋_GB2312"/>
        </w:rPr>
        <w:t>6、社会保障资金缴纳证明：提供2025年1月至今已缴存的至少一个月的社会保障资金缴存单据或社保机构开具的社会保险参保缴费情况证明，依法不需要缴纳社会保障资金的单位应提供相关证明材料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7、财务状况：提供供应商2024年经审计的财务报告或磋商前三个月内开户银行开具的资信证明</w:t>
      </w:r>
    </w:p>
    <w:p>
      <w:pPr>
        <w:pStyle w:val="null3"/>
      </w:pPr>
      <w:r>
        <w:rPr>
          <w:rFonts w:ascii="仿宋_GB2312" w:hAnsi="仿宋_GB2312" w:cs="仿宋_GB2312" w:eastAsia="仿宋_GB2312"/>
        </w:rPr>
        <w:t>8、经营活动：参加政府采购活动前三年内，在经营活动中没有重大违法记录的书面声明</w:t>
      </w:r>
    </w:p>
    <w:p>
      <w:pPr>
        <w:pStyle w:val="null3"/>
      </w:pPr>
      <w:r>
        <w:rPr>
          <w:rFonts w:ascii="仿宋_GB2312" w:hAnsi="仿宋_GB2312" w:cs="仿宋_GB2312" w:eastAsia="仿宋_GB2312"/>
        </w:rPr>
        <w:t>9、控股、管理关系：磋商响应单位负责人不得为同一人或者存在控股、管理关系</w:t>
      </w:r>
    </w:p>
    <w:p>
      <w:pPr>
        <w:pStyle w:val="null3"/>
      </w:pPr>
      <w:r>
        <w:rPr>
          <w:rFonts w:ascii="仿宋_GB2312" w:hAnsi="仿宋_GB2312" w:cs="仿宋_GB2312" w:eastAsia="仿宋_GB2312"/>
        </w:rPr>
        <w:t>10、所必需的设备和专业技术能力：具有履行本合同所必需的设备和专业技术能力</w:t>
      </w:r>
    </w:p>
    <w:p>
      <w:pPr>
        <w:pStyle w:val="null3"/>
      </w:pPr>
      <w:r>
        <w:rPr>
          <w:rFonts w:ascii="仿宋_GB2312" w:hAnsi="仿宋_GB2312" w:cs="仿宋_GB2312" w:eastAsia="仿宋_GB2312"/>
        </w:rPr>
        <w:t>11、本项目为专门面向中小企业项目：投标人须为中型企业或者小型、微型企业或监狱企业或残疾人福利性单位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凯瑞F座601室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029-86186211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瀚景项目管理有限公司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陕西省西安市高新区科技三路57号融城云谷A座506室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姜魏琦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18629662025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采购包1：975,782.08元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西安经济技术开发区住房和城乡建设局</w:t>
      </w:r>
      <w:r>
        <w:rPr>
          <w:rFonts w:ascii="仿宋_GB2312" w:hAnsi="仿宋_GB2312" w:cs="仿宋_GB2312" w:eastAsia="仿宋_GB2312"/>
        </w:rPr>
        <w:t>和</w:t>
      </w:r>
      <w:r>
        <w:rPr>
          <w:rFonts w:ascii="仿宋_GB2312" w:hAnsi="仿宋_GB2312" w:cs="仿宋_GB2312" w:eastAsia="仿宋_GB2312"/>
        </w:rPr>
        <w:t>瀚景项目管理有限公司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瀚景项目管理有限公司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瀚景项目管理有限公司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达到国家相关质量“合格”标准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瀚景项目管理有限公司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瀚景项目管理有限公司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瀚景项目管理有限公司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联系人：姜魏琦</w:t>
      </w:r>
    </w:p>
    <w:p>
      <w:pPr>
        <w:pStyle w:val="null3"/>
      </w:pPr>
      <w:r>
        <w:rPr>
          <w:rFonts w:ascii="仿宋_GB2312" w:hAnsi="仿宋_GB2312" w:cs="仿宋_GB2312" w:eastAsia="仿宋_GB2312"/>
        </w:rPr>
        <w:t>联系电话：18629662025</w:t>
      </w:r>
    </w:p>
    <w:p>
      <w:pPr>
        <w:pStyle w:val="null3"/>
      </w:pPr>
      <w:r>
        <w:rPr>
          <w:rFonts w:ascii="仿宋_GB2312" w:hAnsi="仿宋_GB2312" w:cs="仿宋_GB2312" w:eastAsia="仿宋_GB2312"/>
        </w:rPr>
        <w:t>地址：陕西省西安市高新区科技三路57号融城云谷A座506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975,782.08</w:t>
      </w:r>
    </w:p>
    <w:p>
      <w:pPr>
        <w:pStyle w:val="null3"/>
      </w:pPr>
      <w:r>
        <w:rPr>
          <w:rFonts w:ascii="仿宋_GB2312" w:hAnsi="仿宋_GB2312" w:cs="仿宋_GB2312" w:eastAsia="仿宋_GB2312"/>
        </w:rPr>
        <w:t>采购包最高限价（元）: 975,782.08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元朔路（明光路东侧规划路-明光路东侧规划二路）南侧及文景路（元鼎路-北三环）西侧地块背景林苗木移栽项目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975,782.08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标的名称：元朔路（明光路东侧规划路-明光路东侧规划二路）南侧及文景路（元鼎路-北三环）西侧地块背景林苗木移栽项目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项目概况：</w:t>
            </w:r>
            <w:r>
              <w:rPr>
                <w:rFonts w:ascii="仿宋_GB2312" w:hAnsi="仿宋_GB2312" w:cs="仿宋_GB2312" w:eastAsia="仿宋_GB2312"/>
              </w:rPr>
              <w:t>元朔路(明光路东侧规划路-明光路东侧规划二路)南侧及文景路(元鼎路-北三环)西侧2个地块，共计约移栽乔木 545 株、丛生大灌木及灌木球 158株、灌木绿篱1465 ㎡。</w:t>
            </w:r>
          </w:p>
          <w:p>
            <w:pPr>
              <w:pStyle w:val="null3"/>
            </w:pPr>
            <w:r>
              <w:rPr>
                <w:rFonts w:ascii="仿宋_GB2312" w:hAnsi="仿宋_GB2312" w:cs="仿宋_GB2312" w:eastAsia="仿宋_GB2312"/>
              </w:rPr>
              <w:t>工期：</w:t>
            </w:r>
            <w:r>
              <w:rPr>
                <w:rFonts w:ascii="仿宋_GB2312" w:hAnsi="仿宋_GB2312" w:cs="仿宋_GB2312" w:eastAsia="仿宋_GB2312"/>
              </w:rPr>
              <w:t>30</w:t>
            </w:r>
            <w:r>
              <w:rPr>
                <w:rFonts w:ascii="仿宋_GB2312" w:hAnsi="仿宋_GB2312" w:cs="仿宋_GB2312" w:eastAsia="仿宋_GB2312"/>
              </w:rPr>
              <w:t>日历天</w:t>
            </w:r>
          </w:p>
          <w:p>
            <w:pPr>
              <w:pStyle w:val="null3"/>
            </w:pPr>
            <w:r>
              <w:rPr>
                <w:rFonts w:ascii="仿宋_GB2312" w:hAnsi="仿宋_GB2312" w:cs="仿宋_GB2312" w:eastAsia="仿宋_GB2312"/>
              </w:rPr>
              <w:t>养护期：</w:t>
            </w:r>
            <w:r>
              <w:rPr>
                <w:rFonts w:ascii="仿宋_GB2312" w:hAnsi="仿宋_GB2312" w:cs="仿宋_GB2312" w:eastAsia="仿宋_GB2312"/>
              </w:rPr>
              <w:t>1</w:t>
            </w:r>
            <w:r>
              <w:rPr>
                <w:rFonts w:ascii="仿宋_GB2312" w:hAnsi="仿宋_GB2312" w:cs="仿宋_GB2312" w:eastAsia="仿宋_GB2312"/>
              </w:rPr>
              <w:t>年</w:t>
            </w:r>
          </w:p>
          <w:p>
            <w:pPr>
              <w:pStyle w:val="null3"/>
              <w:jc w:val="both"/>
            </w:pPr>
            <w:r>
              <w:rPr>
                <w:rFonts w:ascii="仿宋_GB2312" w:hAnsi="仿宋_GB2312" w:cs="仿宋_GB2312" w:eastAsia="仿宋_GB2312"/>
                <w:sz w:val="21"/>
              </w:rPr>
              <w:t>质量标准：达到国家相关质量</w:t>
            </w:r>
            <w:r>
              <w:rPr>
                <w:rFonts w:ascii="仿宋_GB2312" w:hAnsi="仿宋_GB2312" w:cs="仿宋_GB2312" w:eastAsia="仿宋_GB2312"/>
                <w:sz w:val="21"/>
              </w:rPr>
              <w:t>“合格”标准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达到国家相关质量“合格”标准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提供供应商2024年经审计的财务报告或磋商前三个月内开户银行开具的资信证明。供应商需在项目电子化交易系统中按要求上传相应证明文件并进行电子签章。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具有合格有效的企业法人营业执照、税务登记证、组织机构代码证（或三证合一营业执照）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磋商响应单位应授权合法的人员参加磋商全过程，其中法定代表人直接参加磋商的，须出具法人身份证，并与营业执照上信息一致。法定代表人授权代表参加磋商的，须出具法定代表人授权书及授权代表身份证及授权代表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拟派项目经理须具备园林绿化相关专业中级或以上工程类职称，在本单位任职，且未担任其他在建工程项目的项目经理</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国执行信息公开网）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提供供应商2024年经审计的财务报告或磋商前三个月内开户银行开具的资信证明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磋商响应单位负责人不得为同一人或者存在控股、管理关系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所必需的设备和专业技术能力</w:t>
            </w:r>
          </w:p>
        </w:tc>
        <w:tc>
          <w:tcPr>
            <w:tcW w:type="dxa" w:w="3322"/>
          </w:tcPr>
          <w:p>
            <w:pPr>
              <w:pStyle w:val="null3"/>
            </w:pPr>
            <w:r>
              <w:rPr>
                <w:rFonts w:ascii="仿宋_GB2312" w:hAnsi="仿宋_GB2312" w:cs="仿宋_GB2312" w:eastAsia="仿宋_GB2312"/>
              </w:rPr>
              <w:t>具有履行本合同所必需的设备和专业技术能力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投标人须为中型企业或者小型、微型企业或监狱企业或残疾人福利性单位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投标方案.docx 已标价工程量清单 中小企业声明函 偏离表.docx 供应商应提交的相关资格证明材料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投标方案.docx 已标价工程量清单 中小企业声明函 偏离表.docx 供应商应提交的相关资格证明材料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投标方案.docx 已标价工程量清单 中小企业声明函 偏离表.docx 供应商应提交的相关资格证明材料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达到国家相关质量合格标准</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2022年1月1日至今完成类似项目业绩，有1项得2分；每增加1项，加2分，最高得6分（以合同协议书或中标通知书为准）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根据供应商针对本项目提供的施工组织设计科学性、合理性、完善程度进行赋分，包括1、项目管理机构及项目经理部组成； 2、施工方案； 3、确保安全生产的技术组织措施； 4、确保文明工地的技术组织措施及环境保护； 5、劳动力计划及主要材料供应计划； 6、施工机械设备供应计划表； 7、确保工程质量保证措施； 8、工进度计划及确保工期的技术措施； 9、雨季施工管理防范措施； 10、垃圾清运的计划； 11、对项目经理及主要人员竣工前不得更换做出实质性承诺，不拖欠农民工工资承诺，确保工程进度不拖延工期承诺。 每项内容全面、具体、可行、科学合理，可操作性强得（3.0-5.0]分； 每项内容相对全面、可操作性一般得（1.0-3.0]分； 每项内容简单、空泛，不具有可操作性得（0-1.0]分； 未提供相关内容不得分。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完全承诺磋商文件和合同条款，并针对本项目实际需求提供实质性承诺或合理化建议内容全面、具体、可行、科学合理，可操作性强得（3.0-5.0]分；内容相对全面、可操作性一般得（1.0-3.0]分；内容简单、空泛，不具有可操作性得（0-1.0]分；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条款并有详细的后续服务措施承诺内容全面、具体、可行、科学合理，可操作性强得（2.0-4.0]分；内容相对全面、可操作性一般得（1.0-2.0]分；内容简单、空泛，不具有可操作性得（0-1.0]分；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磋商基准价=评审报价的最低值，评审报价等于磋商基准价的得满分30分。磋商报价得分=（磋商基准价/评审报价）×30。若磋商响应单位的报价明显低于成本价，或报价明显无法达到服务要求，磋商小组有权要求磋商响应单位做出报价澄清并提供相关证明，若在限定时间内无法澄清或无法出具合理的证明，经磋商小组三分之二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详见附件：合同-元朔路（明光路东侧规划路-明光路东侧规划二路）南侧及文景路（元鼎路-北三环）西侧地块背景林苗木移栽.docx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