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版本号：HRC-ZBDL-2025-0054620250606001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经开区门户网站2025年第三方运营维护服务机构采购项目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HRC-ZBDL-2025-00546</w:t>
      </w:r>
      <w:r>
        <w:br/>
      </w:r>
      <w:r>
        <w:br/>
      </w:r>
      <w:r>
        <w:br/>
      </w:r>
    </w:p>
    <w:p>
      <w:pPr>
        <w:pStyle w:val="null3"/>
        <w:jc w:val="center"/>
        <w:outlineLvl w:val="2"/>
      </w:pPr>
      <w:r>
        <w:rPr>
          <w:rFonts w:ascii="仿宋_GB2312" w:hAnsi="仿宋_GB2312" w:cs="仿宋_GB2312" w:eastAsia="仿宋_GB2312"/>
          <w:sz w:val="28"/>
          <w:b/>
        </w:rPr>
        <w:t>西安经济技术开发区党政办公室</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西安经济技术开发区党政办公室</w:t>
      </w:r>
      <w:r>
        <w:rPr>
          <w:rFonts w:ascii="仿宋_GB2312" w:hAnsi="仿宋_GB2312" w:cs="仿宋_GB2312" w:eastAsia="仿宋_GB2312"/>
        </w:rPr>
        <w:t>委托，拟对</w:t>
      </w:r>
      <w:r>
        <w:rPr>
          <w:rFonts w:ascii="仿宋_GB2312" w:hAnsi="仿宋_GB2312" w:cs="仿宋_GB2312" w:eastAsia="仿宋_GB2312"/>
        </w:rPr>
        <w:t>经开区门户网站2025年第三方运营维护服务机构采购项目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HRC-ZBDL-2025-00546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经开区门户网站2025年第三方运营维护服务机构采购项目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负责为经开区门户网站提供24小时运维支持、安全防护、驻场管理及功能优化，具体包含网站普查监测服务、系统运维服务、内容保障服务、应用拓展服务、专题制作与政策解读、驻场管理。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采购包1（经开区门户网站2025年第三方运营维护服务机构采购项目）：属于专门面向中小企业采购。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要求：法定代表人（主要负责人）委托代理人参加磋商时，应提供法定代表人（主要负责人）委托授权书和授权代表本单位证明（开标前一个月的个人养老保险缴纳证明）；法定代表人（主要负责人）亲自参加磋商时，应提供法定代表人（主要负责人）身份证明书和本单位证明（开标前一个月的个人养老保险缴纳证明）</w:t>
      </w:r>
    </w:p>
    <w:p>
      <w:pPr>
        <w:pStyle w:val="null3"/>
      </w:pPr>
      <w:r>
        <w:rPr>
          <w:rFonts w:ascii="仿宋_GB2312" w:hAnsi="仿宋_GB2312" w:cs="仿宋_GB2312" w:eastAsia="仿宋_GB2312"/>
        </w:rPr>
        <w:t>2、特定资格条件要求：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西安经济技术开发区党政办公室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西安经济技术开发区明光路与凤城十二路凯瑞F座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西安经济技术开发区党政办公室经办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029-86527875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029-85393806/13227022154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取市场定价。（参考国家计委关于印发《招标代理服务收费管理暂行办法》的通知(计价格(2002)1980号)、《国家发展和改革委员会办公厅关于招标代理服务收费有关问题的通知》(发改办价格(2003)857号)规定下浮5%，不足陆仟元按陆仟元收取） 2、中标人在领取中标通知书前，须向采购代理机构一次性支付招标代理服务费。 3、代理服务费缴纳账户信息： 户名：华睿诚项目管理有限公司 开户行名称：西安银行小寨东路支行 账号：8160 1158 0000 1012 24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西安经济技术开发区党政办公室</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西安经济技术开发区党政办公室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西安经济技术开发区党政办公室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联系人：张伟娟</w:t>
      </w:r>
    </w:p>
    <w:p>
      <w:pPr>
        <w:pStyle w:val="null3"/>
      </w:pPr>
      <w:r>
        <w:rPr>
          <w:rFonts w:ascii="仿宋_GB2312" w:hAnsi="仿宋_GB2312" w:cs="仿宋_GB2312" w:eastAsia="仿宋_GB2312"/>
        </w:rPr>
        <w:t>联系电话：029-85393806/13227022154</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负责为经开区门户网站提供24小时运维支持、安全防护、驻场管理及功能优化，具体包含网站普查监测服务、系统运维服务、内容保障服务、应用拓展服务、专题制作与政策解读、驻场管理。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395,000.00</w:t>
      </w:r>
    </w:p>
    <w:p>
      <w:pPr>
        <w:pStyle w:val="null3"/>
      </w:pPr>
      <w:r>
        <w:rPr>
          <w:rFonts w:ascii="仿宋_GB2312" w:hAnsi="仿宋_GB2312" w:cs="仿宋_GB2312" w:eastAsia="仿宋_GB2312"/>
        </w:rPr>
        <w:t>采购包最高限价（元）: 395,000.00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经开区门户网站2025年第三方运营维护服务机构采购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标的名称：经开区门户网站2025年第三方运营维护服务机构采购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color w:val="000000"/>
              </w:rPr>
              <w:t>1、服务内容及要求</w:t>
            </w:r>
          </w:p>
          <w:p>
            <w:pPr>
              <w:pStyle w:val="null3"/>
              <w:ind w:firstLine="480"/>
            </w:pPr>
            <w:r>
              <w:rPr>
                <w:rFonts w:ascii="仿宋_GB2312" w:hAnsi="仿宋_GB2312" w:cs="仿宋_GB2312" w:eastAsia="仿宋_GB2312"/>
                <w:sz w:val="24"/>
                <w:color w:val="000000"/>
              </w:rPr>
              <w:t>本次选聘的</w:t>
            </w:r>
            <w:r>
              <w:rPr>
                <w:rFonts w:ascii="仿宋_GB2312" w:hAnsi="仿宋_GB2312" w:cs="仿宋_GB2312" w:eastAsia="仿宋_GB2312"/>
                <w:sz w:val="24"/>
                <w:color w:val="000000"/>
              </w:rPr>
              <w:t>2025年度第三方运营维护服务机构，负责基于“西安市政府网站集约化平台”为经开区门户网站提供运维保障服务，服务时间1年，具体内容包括：</w:t>
            </w:r>
          </w:p>
          <w:p>
            <w:pPr>
              <w:pStyle w:val="null3"/>
              <w:ind w:firstLine="241"/>
            </w:pPr>
            <w:r>
              <w:rPr>
                <w:rFonts w:ascii="仿宋_GB2312" w:hAnsi="仿宋_GB2312" w:cs="仿宋_GB2312" w:eastAsia="仿宋_GB2312"/>
                <w:sz w:val="24"/>
                <w:b/>
                <w:color w:val="000000"/>
              </w:rPr>
              <w:t>(一)普查监测服务。</w:t>
            </w:r>
            <w:r>
              <w:rPr>
                <w:rFonts w:ascii="仿宋_GB2312" w:hAnsi="仿宋_GB2312" w:cs="仿宋_GB2312" w:eastAsia="仿宋_GB2312"/>
                <w:sz w:val="24"/>
                <w:color w:val="000000"/>
              </w:rPr>
              <w:t>基于云服务模式，提供网站监测系统，根据《政府网站与政务新媒体检查指标》按季度提供人工检查、核实与监测服务，确保栏目更新及时、内容合规。结合系统监测结果，出具全面的监测报告，监测报告包含整改建议及风险预警。</w:t>
            </w:r>
          </w:p>
          <w:p>
            <w:pPr>
              <w:pStyle w:val="null3"/>
              <w:ind w:firstLine="241"/>
            </w:pPr>
            <w:r>
              <w:rPr>
                <w:rFonts w:ascii="仿宋_GB2312" w:hAnsi="仿宋_GB2312" w:cs="仿宋_GB2312" w:eastAsia="仿宋_GB2312"/>
                <w:sz w:val="24"/>
                <w:b/>
                <w:color w:val="000000"/>
              </w:rPr>
              <w:t>(二)系统运维服务。</w:t>
            </w:r>
            <w:r>
              <w:rPr>
                <w:rFonts w:ascii="仿宋_GB2312" w:hAnsi="仿宋_GB2312" w:cs="仿宋_GB2312" w:eastAsia="仿宋_GB2312"/>
                <w:sz w:val="24"/>
                <w:color w:val="000000"/>
              </w:rPr>
              <w:t>设立专人项目运维组，负责漏洞修复、定期巡检、系统监控、功能优化、数据管理、性能优化、系统管理、安全管理、技术咨询、专项保障等，开展安全等级保护测试，系统故障修复响应时间不超过</w:t>
            </w:r>
            <w:r>
              <w:rPr>
                <w:rFonts w:ascii="仿宋_GB2312" w:hAnsi="仿宋_GB2312" w:cs="仿宋_GB2312" w:eastAsia="仿宋_GB2312"/>
                <w:sz w:val="24"/>
                <w:color w:val="000000"/>
              </w:rPr>
              <w:t>1小时。</w:t>
            </w:r>
          </w:p>
          <w:p>
            <w:pPr>
              <w:pStyle w:val="null3"/>
              <w:ind w:firstLine="241"/>
            </w:pPr>
            <w:r>
              <w:rPr>
                <w:rFonts w:ascii="仿宋_GB2312" w:hAnsi="仿宋_GB2312" w:cs="仿宋_GB2312" w:eastAsia="仿宋_GB2312"/>
                <w:sz w:val="24"/>
                <w:b/>
                <w:color w:val="000000"/>
              </w:rPr>
              <w:t>(三)内容保障服务。</w:t>
            </w:r>
            <w:r>
              <w:rPr>
                <w:rFonts w:ascii="仿宋_GB2312" w:hAnsi="仿宋_GB2312" w:cs="仿宋_GB2312" w:eastAsia="仿宋_GB2312"/>
                <w:sz w:val="24"/>
                <w:color w:val="000000"/>
              </w:rPr>
              <w:t>提供网站页面、栏目及内容优化调整，节假日宣传图片制作和网站日常图片设计制作等服务。</w:t>
            </w:r>
          </w:p>
          <w:p>
            <w:pPr>
              <w:pStyle w:val="null3"/>
              <w:ind w:firstLine="241"/>
            </w:pPr>
            <w:r>
              <w:rPr>
                <w:rFonts w:ascii="仿宋_GB2312" w:hAnsi="仿宋_GB2312" w:cs="仿宋_GB2312" w:eastAsia="仿宋_GB2312"/>
                <w:sz w:val="24"/>
                <w:b/>
                <w:color w:val="000000"/>
              </w:rPr>
              <w:t>(四)应用拓展服务。</w:t>
            </w:r>
            <w:r>
              <w:rPr>
                <w:rFonts w:ascii="仿宋_GB2312" w:hAnsi="仿宋_GB2312" w:cs="仿宋_GB2312" w:eastAsia="仿宋_GB2312"/>
                <w:sz w:val="24"/>
                <w:color w:val="000000"/>
              </w:rPr>
              <w:t>根据政府网站考核指标，部署智能预警系统，实时推送栏目更新提醒至各内容保障单位负责人。提供智能问答系统维护、梳理、更新等服务。</w:t>
            </w:r>
          </w:p>
          <w:p>
            <w:pPr>
              <w:pStyle w:val="null3"/>
              <w:ind w:firstLine="241"/>
            </w:pPr>
            <w:r>
              <w:rPr>
                <w:rFonts w:ascii="仿宋_GB2312" w:hAnsi="仿宋_GB2312" w:cs="仿宋_GB2312" w:eastAsia="仿宋_GB2312"/>
                <w:sz w:val="24"/>
                <w:b/>
                <w:color w:val="000000"/>
              </w:rPr>
              <w:t>(五)专题制作与政策解读。</w:t>
            </w:r>
            <w:r>
              <w:rPr>
                <w:rFonts w:ascii="仿宋_GB2312" w:hAnsi="仿宋_GB2312" w:cs="仿宋_GB2312" w:eastAsia="仿宋_GB2312"/>
                <w:sz w:val="24"/>
                <w:color w:val="000000"/>
              </w:rPr>
              <w:t>根据中省市要求及本地区重点工作、热点活动要求，规划制作网站专题专栏</w:t>
            </w:r>
            <w:r>
              <w:rPr>
                <w:rFonts w:ascii="仿宋_GB2312" w:hAnsi="仿宋_GB2312" w:cs="仿宋_GB2312" w:eastAsia="仿宋_GB2312"/>
                <w:sz w:val="24"/>
                <w:color w:val="000000"/>
              </w:rPr>
              <w:t>(全年不少于6个)；按要求完成政策文件、政务公</w:t>
            </w:r>
            <w:r>
              <w:rPr>
                <w:rFonts w:ascii="仿宋_GB2312" w:hAnsi="仿宋_GB2312" w:cs="仿宋_GB2312" w:eastAsia="仿宋_GB2312"/>
                <w:sz w:val="24"/>
                <w:color w:val="000000"/>
              </w:rPr>
              <w:t>开年报等图文解读的设计、制作和发布</w:t>
            </w:r>
            <w:r>
              <w:rPr>
                <w:rFonts w:ascii="仿宋_GB2312" w:hAnsi="仿宋_GB2312" w:cs="仿宋_GB2312" w:eastAsia="仿宋_GB2312"/>
                <w:sz w:val="24"/>
                <w:color w:val="000000"/>
              </w:rPr>
              <w:t>(全年不少于40条)。</w:t>
            </w:r>
          </w:p>
          <w:p>
            <w:pPr>
              <w:pStyle w:val="null3"/>
              <w:ind w:firstLine="241"/>
            </w:pPr>
            <w:r>
              <w:rPr>
                <w:rFonts w:ascii="仿宋_GB2312" w:hAnsi="仿宋_GB2312" w:cs="仿宋_GB2312" w:eastAsia="仿宋_GB2312"/>
                <w:sz w:val="24"/>
                <w:b/>
                <w:color w:val="000000"/>
              </w:rPr>
              <w:t>(六)驻场</w:t>
            </w:r>
            <w:r>
              <w:rPr>
                <w:rFonts w:ascii="仿宋_GB2312" w:hAnsi="仿宋_GB2312" w:cs="仿宋_GB2312" w:eastAsia="仿宋_GB2312"/>
                <w:sz w:val="24"/>
                <w:b/>
                <w:color w:val="000000"/>
              </w:rPr>
              <w:t>管理</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根据</w:t>
            </w:r>
            <w:r>
              <w:rPr>
                <w:rFonts w:ascii="仿宋_GB2312" w:hAnsi="仿宋_GB2312" w:cs="仿宋_GB2312" w:eastAsia="仿宋_GB2312"/>
                <w:sz w:val="24"/>
                <w:color w:val="000000"/>
              </w:rPr>
              <w:t>工作要求，安排专业驻场人员提供全年驻场服务。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工作要求，安排专业驻场人员提供全年驻场服务。负责网站内容采编与维护管理、网站日常检查监测、网站错敏信息审核与修改、网站断错链修改、网站监测问题整改跟踪、需求收集与反馈、数据统计与报表、系统管理等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2.5.1项目实施要求 须详细说明实施本项目拟采用的团队组织方法和具体项目组织机构，保证在此项目实施期间足够的人力投入和人员的质量。 2.5.2质量保证要求 1、符合国家有关规范要求，确保项目完成后达到最佳运行状态。 2、投标人必须按照项目质量管理和质量保证体系，提出具体措施，确保项目质量。 2.5.3系统培训要求 1、应针对采购人需求提供技术培训及相关系统的基础培训。 2、须制定出详细完整的培训方案，应能使采购人相关人员独立操作、维护、管理，确保系统能正常安全运行。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服务周期一年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西安经开区管委会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合同签订后半年内，支付总价款的60%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服务期满验收合格后，支付合同总价款的40%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售后服务要求： 1、应制定详细运维保障计划，包含运维服务标准、服务跟踪计划、系统维护、升级服务、技术支持服务及其他相关服务承诺。 2、明确承诺服务响应7*24小时电话服务，半小时内做出明确响应和安排，1小时内到达现场，2小时内做出相应的故障或责任判断，并协助采购人处理后继事宜。 3、注：磋商最后报价，在采购需求无实质性变更下，不得高于首次磋商报价。报价保留两位小数，四舍五入，最终保持合计与磋商报价一致。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1、在中华人民共和国境内注册，依法取得并有效存续的营业执照（含电子营业执照）\事业单位法人证书\民办非企业单位登记证书\非企业专业服务机构执业许可证等。 2、具有良好的商业信誉和健全的财务会计制度（供应商应提供2023或2024年度经审计的财务会计报告（至少包括审计报告、资产负债表和利润表、现金流表及附注，成立时间至提交投标文件截止时间不足一年的可提供成立后任意时段的资产负债表）或提交截止时间六个月内其基本账户开户银行出具的资信证明（附基本存款账户信息））或信用担保机构出具的投标担保函； 注：根据“财办〔2022〕32号、财会〔2023〕15号”的规定，审计报告须在注册会计师行业统一监管平台进行自动赋码验证，未赋码的视为审计报告无效。 3、社会保障资金缴纳证明：提交响应文件截止时间前六个月内至少一个月的社会保障资金缴存单据或社保机构开具的社会保险参保缴费情况证明，单据或证明上应有社保机构或代收机构的公章或业务专用章。 4、税收缴纳证明：提交响应文件截止时间前六个月内至少一个月的纳税证明或完税证明（增值税、营业税、企业所得税至少提供一种），纳税证明或完税证明上应有代收机构或税务机关的公章或业务专用章。 5、提供具有履行合同所必需的设备和专业技术能力的承诺。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供应商应提供2023或2024年度经审计的财务会计报告（至少包括审计报告、资产负债表和利润表、现金流表及附注，成立时间至提交投标文件截止时间不足一年的可提供成立后任意时段的资产负债表）或提交截止时间六个月内其基本账户开户银行出具的资信证明（附基本存款账户信息））或信用担保机构出具的投标担保函； 注：根据“财办〔2022〕32号、财会〔2023〕15号”的规定，审计报告须在注册会计师行业统一监管平台进行自动赋码验证，未赋码的视为审计报告无效。</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特定资格条件要求</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和授权代表本单位证明（开标前一个月的个人养老保险缴纳证明）；法定代表人（主要负责人）亲自参加磋商时，应提供法定代表人（主要负责人）身份证明书和本单位证明（开标前一个月的个人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特定资格条件要求</w:t>
            </w:r>
          </w:p>
        </w:tc>
        <w:tc>
          <w:tcPr>
            <w:tcW w:type="dxa" w:w="3322"/>
          </w:tcPr>
          <w:p>
            <w:pPr>
              <w:pStyle w:val="null3"/>
            </w:pPr>
            <w:r>
              <w:rPr>
                <w:rFonts w:ascii="仿宋_GB2312" w:hAnsi="仿宋_GB2312" w:cs="仿宋_GB2312" w:eastAsia="仿宋_GB2312"/>
              </w:rPr>
              <w:t>供应商不得被“信用中国”（www.creditchina.gov.cn）列入重大税收违法案件当事人名单；不得被“中国执行信息公开网”（zxgk.court.gov.cn）列入失信被执行人名单；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通过符合性供应商的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 、销售费用、管理费用、财务费用等成本构成事项详细陈述。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磋商响应文件加盖供应商的签字或盖章。</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磋商报价与市场价偏离较大，低于成本，形成不正当竞争</w:t>
            </w:r>
          </w:p>
        </w:tc>
        <w:tc>
          <w:tcPr>
            <w:tcW w:type="dxa" w:w="3322"/>
          </w:tcPr>
          <w:p>
            <w:pPr>
              <w:pStyle w:val="null3"/>
            </w:pPr>
            <w:r>
              <w:rPr>
                <w:rFonts w:ascii="仿宋_GB2312" w:hAnsi="仿宋_GB2312" w:cs="仿宋_GB2312" w:eastAsia="仿宋_GB2312"/>
              </w:rPr>
              <w:t xml:space="preserve"> 响应报价未与市场价偏离较大，低于成本，形成不正当竞争。</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响应文件中技术、服务内容达不到采购要求，出现重大负偏差，降低了服务要求技术、服务内容达到采购要求，未出现重大负偏差，未降低磋商文件要求</w:t>
            </w:r>
          </w:p>
        </w:tc>
        <w:tc>
          <w:tcPr>
            <w:tcW w:type="dxa" w:w="3322"/>
          </w:tcPr>
          <w:p>
            <w:pPr>
              <w:pStyle w:val="null3"/>
            </w:pPr>
            <w:r>
              <w:rPr>
                <w:rFonts w:ascii="仿宋_GB2312" w:hAnsi="仿宋_GB2312" w:cs="仿宋_GB2312" w:eastAsia="仿宋_GB2312"/>
              </w:rPr>
              <w:t>技术、服务内容达到采购要求，未出现重大负偏差，未降低磋商文件要求。</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响应文件未附加采购人难以接受的条件。</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供应商提供虚假证明，开具虚假资质，出现虚假应答或故意隐瞒行为</w:t>
            </w:r>
          </w:p>
        </w:tc>
        <w:tc>
          <w:tcPr>
            <w:tcW w:type="dxa" w:w="3322"/>
          </w:tcPr>
          <w:p>
            <w:pPr>
              <w:pStyle w:val="null3"/>
            </w:pPr>
            <w:r>
              <w:rPr>
                <w:rFonts w:ascii="仿宋_GB2312" w:hAnsi="仿宋_GB2312" w:cs="仿宋_GB2312" w:eastAsia="仿宋_GB2312"/>
              </w:rPr>
              <w:t>未提供虚假证明，开具虚假资质，出现虚假应答或故意隐瞒行为。</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信用评审</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 记录名单及其他不符合《中华人民共和国政府 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 商务要求偏离表.docx 中小企业声明函 残疾人福利性单位声明函 服务方案 标的清单 报价表 采购需求偏离表.docx 响应函 资格证明文件.docx 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服务需求理解方案</w:t>
            </w:r>
          </w:p>
        </w:tc>
        <w:tc>
          <w:tcPr>
            <w:tcW w:type="dxa" w:w="2492"/>
          </w:tcPr>
          <w:p>
            <w:pPr>
              <w:pStyle w:val="null3"/>
            </w:pPr>
            <w:r>
              <w:rPr>
                <w:rFonts w:ascii="仿宋_GB2312" w:hAnsi="仿宋_GB2312" w:cs="仿宋_GB2312" w:eastAsia="仿宋_GB2312"/>
              </w:rPr>
              <w:t>针对本项目具有详细、合理的服务需求理解方案，方案内容包含但不限于①服务内容需求②服务要求等。 以上2项内容全面详细、逻辑条理清晰、操作细节明确且符合本项目采购需求，能有效保障本项目实施的计10分，每有一项方案缺失扣5分，每一项方案内容存在缺陷，按以下说明扣分。 说明：缺陷是指 ①内容不合理、虽有内容但内容稀疏、不完善、存在不适用项目实际情况的情形且内容表述前后不一致，扣2.5分； ②涉及的规范及标准错误、地点区域错误、存在与本项目无关的内容、语义描述不清、存在影响项目履约质量的情况等任意一种情形，扣2.5分。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普查监测服务方案</w:t>
            </w:r>
          </w:p>
        </w:tc>
        <w:tc>
          <w:tcPr>
            <w:tcW w:type="dxa" w:w="2492"/>
          </w:tcPr>
          <w:p>
            <w:pPr>
              <w:pStyle w:val="null3"/>
            </w:pPr>
            <w:r>
              <w:rPr>
                <w:rFonts w:ascii="仿宋_GB2312" w:hAnsi="仿宋_GB2312" w:cs="仿宋_GB2312" w:eastAsia="仿宋_GB2312"/>
              </w:rPr>
              <w:t>针对供应商提供普查监测服务方案，方案内容包含但不限于①日常规范性监测和错敏信息监测②可用性监测和更新监测③健康度分析和实时告警及监测报告。 以上3项内容全面详细、逻辑条理清晰、操作细节明确且符合本项目采购需求，同时提供功能截图，能有效保障本项目实施的计9分，每有一项方案缺失扣3分，每一项方案内容存在缺陷，按以下说明扣分。 说明：缺陷是指 ①内容不合理、虽有内容但内容稀疏、不完善、存在不适用项目实际情况的情形且内容表述前后不一致，扣1.5分； 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系统运维服务方案</w:t>
            </w:r>
          </w:p>
        </w:tc>
        <w:tc>
          <w:tcPr>
            <w:tcW w:type="dxa" w:w="2492"/>
          </w:tcPr>
          <w:p>
            <w:pPr>
              <w:pStyle w:val="null3"/>
            </w:pPr>
            <w:r>
              <w:rPr>
                <w:rFonts w:ascii="仿宋_GB2312" w:hAnsi="仿宋_GB2312" w:cs="仿宋_GB2312" w:eastAsia="仿宋_GB2312"/>
              </w:rPr>
              <w:t>根据供应商提供完善的网站系统运维服务方案，方案内容包含但不限于①设立专人项目运维组：负责漏洞修复、定期巡检、系统监控、功能优化、数据管理、性能优化、系统管理、安全管理、技术咨询、专项保障等②服务渠道多样化和服务响应及时。 以上2项内容全面详细、逻辑条理清晰、操作细节明确且符合本项目采购需求，能有效保障本项目实施的计10分，每有一项方案缺失扣5分，每一项方案内容存在缺陷，按以下说明扣分。 说明：缺陷是指 ①内容不合理、虽有内容但内容稀疏、不完善、存在不适用项目实际情况的情形且内容表述前后不一致，扣2.5分； ②涉及的规范及标准错误、地点区域错误、存在与本项目无关的内容、语义描述不清、存在影响项目履约质量的情况等任意一种情形，扣2.5分。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内容保障服务方案</w:t>
            </w:r>
          </w:p>
        </w:tc>
        <w:tc>
          <w:tcPr>
            <w:tcW w:type="dxa" w:w="2492"/>
          </w:tcPr>
          <w:p>
            <w:pPr>
              <w:pStyle w:val="null3"/>
            </w:pPr>
            <w:r>
              <w:rPr>
                <w:rFonts w:ascii="仿宋_GB2312" w:hAnsi="仿宋_GB2312" w:cs="仿宋_GB2312" w:eastAsia="仿宋_GB2312"/>
              </w:rPr>
              <w:t>根据供应商提供网站内容保障服务方案，方案内容包含但不限于①网站页面、栏目及内容优化调整②节假日宣传图片制作③网站日常图片设计制作。 以上3项内容全面详细、逻辑条理清晰、操作细节明确且符合本项目采购需求，能有效保障本项目实施的计9分，每有一项方案缺失扣3分，每一项方案内容存在缺陷，按以下说明扣分。 说明：缺陷是指 ①内容不合理、虽有内容但内容稀疏、不完善、存在不适用项目实际情况的情形且内容表述前后不一致，扣1.5分； 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应用拓展服务方案</w:t>
            </w:r>
          </w:p>
        </w:tc>
        <w:tc>
          <w:tcPr>
            <w:tcW w:type="dxa" w:w="2492"/>
          </w:tcPr>
          <w:p>
            <w:pPr>
              <w:pStyle w:val="null3"/>
            </w:pPr>
            <w:r>
              <w:rPr>
                <w:rFonts w:ascii="仿宋_GB2312" w:hAnsi="仿宋_GB2312" w:cs="仿宋_GB2312" w:eastAsia="仿宋_GB2312"/>
              </w:rPr>
              <w:t>根据供应商提供的应用拓展服务方案，方案内容包含但不限于①部署智能预警系统②实时推送栏目更新提醒至各内容保障单位负责人③智能问答系统维护、梳理、更新等。 以上3项内容全面详细、逻辑条理清晰、操作细节明确且符合本项目采购需求，能有效保障本项目实施的计9分，每有一项方案缺失扣3分，每一项方案内容存在缺陷，按以下说明扣分。 说明：缺陷是指 ①内容不合理、虽有内容但内容稀疏、不完善、存在不适用项目实际情况的情形且内容表述前后不一致，扣1.5分； 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专题专栏与政策解读制作方案</w:t>
            </w:r>
          </w:p>
        </w:tc>
        <w:tc>
          <w:tcPr>
            <w:tcW w:type="dxa" w:w="2492"/>
          </w:tcPr>
          <w:p>
            <w:pPr>
              <w:pStyle w:val="null3"/>
            </w:pPr>
            <w:r>
              <w:rPr>
                <w:rFonts w:ascii="仿宋_GB2312" w:hAnsi="仿宋_GB2312" w:cs="仿宋_GB2312" w:eastAsia="仿宋_GB2312"/>
              </w:rPr>
              <w:t>供应商根据要求提供网站专题专栏与政策解读制作方案，方案内容包含但不限于①规划制作网站专题专栏②政策文件、政务公开年报等图文解读的设计、制作和发布。 以上2项内容全面详细、逻辑条理清晰、操作细节明确且符合本项目采购需求，能有效保障本项目实施的计10分，每有一项方案缺失扣5分，每一项方案内容存在缺陷，按以下说明扣分。 说明：缺陷是指 ①内容不合理、虽有内容但内容稀疏、不完善、存在不适用项目实际情况的情形且内容表述前后不一致，扣2.5分； ②涉及的规范及标准错误、地点区域错误、存在与本项目无关的内容、语义描述不清、存在影响项目履约质量的情况等任意一种情形，扣2.5分。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安全防范及应急保障措施方案</w:t>
            </w:r>
          </w:p>
        </w:tc>
        <w:tc>
          <w:tcPr>
            <w:tcW w:type="dxa" w:w="2492"/>
          </w:tcPr>
          <w:p>
            <w:pPr>
              <w:pStyle w:val="null3"/>
            </w:pPr>
            <w:r>
              <w:rPr>
                <w:rFonts w:ascii="仿宋_GB2312" w:hAnsi="仿宋_GB2312" w:cs="仿宋_GB2312" w:eastAsia="仿宋_GB2312"/>
              </w:rPr>
              <w:t>针对本项目具有详细、合理的服务需求理解方案，方案内容包含但不限于①安全防范措施②针对各类突发事件的应急保障措施方案。 以上2项内容全面详细、逻辑条理清晰、操作细节明确且符合本项目采购需求，能有效保障本项目实施的计10分，每有一项方案缺失扣5分，每一项方案内容存在缺陷，按以下说明扣分。 说明：缺陷是指 ①内容不合理、虽有内容但内容稀疏、不完善、存在不适用项目实际情况的情形且内容表述前后不一致，扣2.5分； ②涉及的规范及标准错误、地点区域错误、存在与本项目无关的内容、语义描述不清、存在影响项目履约质量的情况等任意一种情形，扣2.5分。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供应商针对本项目提供全面专业驻场人员，以满足项目需求满。 人员职责分工明确、从业经验丰富、配置合理得5分； 人员职责分工较明确、从业经验较丰富、配置较合理得3分； 人员职责分工一般明确、从业经验一般丰富、配置一般合理得1分；其他或未提供得0分。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针对本项目作出相应服务质量承诺书，格式自拟。 1、承诺：供应商针对本项目提供详细具体可行的运维服务承诺，得2分，无承诺不得分。 2、承诺：供应商针对本项目提供详细具体可行的项目服务质量保障承诺，得2分，无承诺不得分。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供应商提供有关网站集约化运维监管、集约化网站管理、集约化新媒体管理、集约化政民互动、集约化内容采编、集约化智能检索等相关软件著作权证书的，每提供一个得1分，最高得6分。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供应商提供2022年1月1日至今类似政府门户网站运维或监测项目业绩（以加盖供应商公章的合同复印件为准，时间以合同签订时间为准），每提供一个业绩得2分。满分8分。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的供应商的价格为磋商基准价。各供应商的价格分统一按照下列公式计算：磋商报价得分=（磋商基准价/最后磋商报价） ×价格权值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