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BCAC21">
      <w:pPr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bidi="ar"/>
        </w:rPr>
      </w:pPr>
      <w:bookmarkStart w:id="0" w:name="_Toc29192"/>
      <w:r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bidi="ar"/>
        </w:rPr>
        <w:t>合同条款响应</w:t>
      </w:r>
      <w:bookmarkEnd w:id="0"/>
    </w:p>
    <w:tbl>
      <w:tblPr>
        <w:tblStyle w:val="4"/>
        <w:tblW w:w="92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549"/>
        <w:gridCol w:w="2628"/>
        <w:gridCol w:w="2636"/>
        <w:gridCol w:w="1489"/>
      </w:tblGrid>
      <w:tr w14:paraId="1837ADB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vAlign w:val="center"/>
          </w:tcPr>
          <w:p w14:paraId="28879BE1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序号</w:t>
            </w:r>
          </w:p>
        </w:tc>
        <w:tc>
          <w:tcPr>
            <w:tcW w:w="1549" w:type="dxa"/>
            <w:tcBorders>
              <w:top w:val="single" w:color="auto" w:sz="12" w:space="0"/>
              <w:bottom w:val="single" w:color="auto" w:sz="2" w:space="0"/>
            </w:tcBorders>
            <w:vAlign w:val="center"/>
          </w:tcPr>
          <w:p w14:paraId="792BD80B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条款名称</w:t>
            </w:r>
          </w:p>
        </w:tc>
        <w:tc>
          <w:tcPr>
            <w:tcW w:w="2628" w:type="dxa"/>
            <w:tcBorders>
              <w:top w:val="single" w:color="auto" w:sz="12" w:space="0"/>
              <w:bottom w:val="single" w:color="auto" w:sz="2" w:space="0"/>
            </w:tcBorders>
            <w:vAlign w:val="center"/>
          </w:tcPr>
          <w:p w14:paraId="19E49C1F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磋商文件合同条款明细</w:t>
            </w:r>
          </w:p>
        </w:tc>
        <w:tc>
          <w:tcPr>
            <w:tcW w:w="2636" w:type="dxa"/>
            <w:tcBorders>
              <w:top w:val="single" w:color="auto" w:sz="12" w:space="0"/>
              <w:bottom w:val="single" w:color="auto" w:sz="2" w:space="0"/>
            </w:tcBorders>
            <w:vAlign w:val="center"/>
          </w:tcPr>
          <w:p w14:paraId="452F5740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响应文件合同条款响应</w:t>
            </w:r>
          </w:p>
        </w:tc>
        <w:tc>
          <w:tcPr>
            <w:tcW w:w="1489" w:type="dxa"/>
            <w:tcBorders>
              <w:top w:val="single" w:color="auto" w:sz="12" w:space="0"/>
              <w:bottom w:val="single" w:color="auto" w:sz="2" w:space="0"/>
            </w:tcBorders>
            <w:vAlign w:val="center"/>
          </w:tcPr>
          <w:p w14:paraId="4F5BF1DF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响应说明</w:t>
            </w:r>
          </w:p>
        </w:tc>
      </w:tr>
      <w:tr w14:paraId="3A5BCDA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2" w:space="0"/>
            </w:tcBorders>
            <w:vAlign w:val="center"/>
          </w:tcPr>
          <w:p w14:paraId="36BDD300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tcBorders>
              <w:top w:val="single" w:color="auto" w:sz="2" w:space="0"/>
            </w:tcBorders>
            <w:vAlign w:val="center"/>
          </w:tcPr>
          <w:p w14:paraId="7697F99D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tcBorders>
              <w:top w:val="single" w:color="auto" w:sz="2" w:space="0"/>
            </w:tcBorders>
            <w:vAlign w:val="center"/>
          </w:tcPr>
          <w:p w14:paraId="46DC96F2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tcBorders>
              <w:top w:val="single" w:color="auto" w:sz="2" w:space="0"/>
            </w:tcBorders>
            <w:vAlign w:val="center"/>
          </w:tcPr>
          <w:p w14:paraId="55E5330C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tcBorders>
              <w:top w:val="single" w:color="auto" w:sz="2" w:space="0"/>
            </w:tcBorders>
            <w:vAlign w:val="center"/>
          </w:tcPr>
          <w:p w14:paraId="10F61013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31155A7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vAlign w:val="center"/>
          </w:tcPr>
          <w:p w14:paraId="650BD7DB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vAlign w:val="center"/>
          </w:tcPr>
          <w:p w14:paraId="0BCEA3BC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vAlign w:val="center"/>
          </w:tcPr>
          <w:p w14:paraId="2DCBC3DF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vAlign w:val="center"/>
          </w:tcPr>
          <w:p w14:paraId="250FC757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vAlign w:val="center"/>
          </w:tcPr>
          <w:p w14:paraId="7853B821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6E9E99F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vAlign w:val="center"/>
          </w:tcPr>
          <w:p w14:paraId="08B37B71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vAlign w:val="center"/>
          </w:tcPr>
          <w:p w14:paraId="54AB97C3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vAlign w:val="center"/>
          </w:tcPr>
          <w:p w14:paraId="3B19D4A7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vAlign w:val="center"/>
          </w:tcPr>
          <w:p w14:paraId="2A144ABC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vAlign w:val="center"/>
          </w:tcPr>
          <w:p w14:paraId="303BB5C8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45812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vAlign w:val="center"/>
          </w:tcPr>
          <w:p w14:paraId="24BD7202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vAlign w:val="center"/>
          </w:tcPr>
          <w:p w14:paraId="763E58E0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vAlign w:val="center"/>
          </w:tcPr>
          <w:p w14:paraId="2C35EE03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vAlign w:val="center"/>
          </w:tcPr>
          <w:p w14:paraId="1480F2C2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vAlign w:val="center"/>
          </w:tcPr>
          <w:p w14:paraId="0C571E82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065A016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vAlign w:val="center"/>
          </w:tcPr>
          <w:p w14:paraId="192DD5E2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vAlign w:val="center"/>
          </w:tcPr>
          <w:p w14:paraId="45F8556B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vAlign w:val="center"/>
          </w:tcPr>
          <w:p w14:paraId="1383D2E8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vAlign w:val="center"/>
          </w:tcPr>
          <w:p w14:paraId="4224FB21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vAlign w:val="center"/>
          </w:tcPr>
          <w:p w14:paraId="6F0BC305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6C28A49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vAlign w:val="center"/>
          </w:tcPr>
          <w:p w14:paraId="491936BF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vAlign w:val="center"/>
          </w:tcPr>
          <w:p w14:paraId="4E060B6E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vAlign w:val="center"/>
          </w:tcPr>
          <w:p w14:paraId="62535450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vAlign w:val="center"/>
          </w:tcPr>
          <w:p w14:paraId="6EC7F72A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vAlign w:val="center"/>
          </w:tcPr>
          <w:p w14:paraId="53EB6B74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31981A9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vAlign w:val="center"/>
          </w:tcPr>
          <w:p w14:paraId="22202241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vAlign w:val="center"/>
          </w:tcPr>
          <w:p w14:paraId="470AF662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vAlign w:val="center"/>
          </w:tcPr>
          <w:p w14:paraId="4AC4EA19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vAlign w:val="center"/>
          </w:tcPr>
          <w:p w14:paraId="21BF191C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vAlign w:val="center"/>
          </w:tcPr>
          <w:p w14:paraId="6AD7D64B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3FA5D9B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vAlign w:val="center"/>
          </w:tcPr>
          <w:p w14:paraId="568D8180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备注</w:t>
            </w:r>
          </w:p>
        </w:tc>
        <w:tc>
          <w:tcPr>
            <w:tcW w:w="8302" w:type="dxa"/>
            <w:gridSpan w:val="4"/>
            <w:vAlign w:val="center"/>
          </w:tcPr>
          <w:p w14:paraId="32C1614E"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1.“完全接受”的条款无需在本表中列出，但必须提交空白表；对于需要供应商填报的内容，以及“不能接受”或“有条件接受”的条款，则应写明该条款名称及条款明细、以及供应商所能接受的条件。</w:t>
            </w:r>
          </w:p>
          <w:p w14:paraId="59796B60"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2.若响应文件含有采购人不能接受的附加条件的，响应文件无效。</w:t>
            </w:r>
          </w:p>
          <w:p w14:paraId="25C2C64E"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3.因表格空间因有限，不足以容纳响应内容时，允许在表后进行响应，但须在表中注明引用位置。</w:t>
            </w:r>
          </w:p>
        </w:tc>
      </w:tr>
    </w:tbl>
    <w:p w14:paraId="5D3F9319">
      <w:pPr>
        <w:spacing w:line="56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声明：除上表所列的合同条款外，磋商文件中的其他合同条款我方均完全接受。</w:t>
      </w:r>
    </w:p>
    <w:p w14:paraId="2D2EB1C5">
      <w:pPr>
        <w:pStyle w:val="3"/>
        <w:snapToGrid w:val="0"/>
        <w:spacing w:line="360" w:lineRule="auto"/>
        <w:ind w:firstLine="2822" w:firstLineChars="1176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6F9CE857">
      <w:pPr>
        <w:pStyle w:val="3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</w:t>
      </w:r>
    </w:p>
    <w:p w14:paraId="0DB36C34">
      <w:pPr>
        <w:pStyle w:val="3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</w:t>
      </w:r>
    </w:p>
    <w:p w14:paraId="4A824493">
      <w:pPr>
        <w:pStyle w:val="3"/>
        <w:snapToGrid w:val="0"/>
        <w:spacing w:line="360" w:lineRule="auto"/>
        <w:ind w:firstLine="4262" w:firstLineChars="1776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日</w:t>
      </w:r>
    </w:p>
    <w:p w14:paraId="48397AF9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5880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ind w:left="120"/>
    </w:pPr>
    <w:rPr>
      <w:sz w:val="28"/>
      <w:szCs w:val="28"/>
    </w:r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2025-07-18T07:37:27Z</dcterms:created>
  <dc:creator>PC</dc:creator>
  <cp:lastModifiedBy>doit</cp:lastModifiedBy>
  <dcterms:modified xsi:type="dcterms:W3CDTF">2025-07-18T07:37:35Z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eyJoZGlkIjoiMWZlOGMwODkwNzQyMDY3YmQ2M2QxOWMzOTg5YjY5YjAiLCJ1c2VySWQiOiI1NDQyNTk1OTUifQ==</vt:lpwstr>
  </property>
  <property fmtid="{D5CDD505-2E9C-101B-9397-08002B2CF9AE}" pid="4" name="ICV">
    <vt:lpwstr>8E25CECBC209445BB975622504C3C55F_12</vt:lpwstr>
  </property>
</Properties>
</file>