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0B28C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0BAD2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CA70A8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20CD21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09C2DC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6792AF08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457837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59662C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响应说明</w:t>
            </w:r>
          </w:p>
        </w:tc>
      </w:tr>
      <w:tr w14:paraId="34BD6E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284367E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AF8D01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0D09EE6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6D02666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5435621C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7BFE782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D49FF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4BC9A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3F9B31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C0CFFD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5159A4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1396D1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741F20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32E5E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754BE73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130B12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101E27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1410CCB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7B9B5DB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264BC5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26A52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2D670286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69C322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76D8F2D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498E82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0C7C8CF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1B0E2D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26E3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497AB9C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4E41FBB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A68404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28A6478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33521D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0A09FFF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E332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16C5A17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5602D88B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2A16844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3E9E2471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84FED7D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6FE09327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11B9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CDFEF5A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73A153A4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资格，并按有关规定进行处罚。 </w:t>
            </w:r>
          </w:p>
          <w:p w14:paraId="331C835C">
            <w:pPr>
              <w:shd w:val="clear" w:color="auto" w:fil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2．对《第三章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项目技术、服务、商务及其他要求》按实际响应情况填写“优于”、“不响应”，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文件中技术、商务响应与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文件技术要求完全一致的，不用在此表中列出，但必须提交空白表。</w:t>
            </w:r>
          </w:p>
        </w:tc>
      </w:tr>
    </w:tbl>
    <w:p w14:paraId="131D6EF4">
      <w:pPr>
        <w:pStyle w:val="2"/>
        <w:shd w:val="clear" w:color="auto"/>
        <w:snapToGrid w:val="0"/>
        <w:spacing w:line="360" w:lineRule="auto"/>
        <w:ind w:firstLine="2822" w:firstLineChars="11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7372766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36CC0CF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881664B">
      <w:pPr>
        <w:pStyle w:val="2"/>
        <w:shd w:val="clear" w:color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61E524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5C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2025-07-08T11:33:43Z</dcterms:created>
  <dc:creator>PC</dc:creator>
  <cp:lastModifiedBy>doit</cp:lastModifiedBy>
  <dcterms:modified xsi:type="dcterms:W3CDTF">2025-07-08T11:41:07Z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eyJoZGlkIjoiMWZlOGMwODkwNzQyMDY3YmQ2M2QxOWMzOTg5YjY5YjAiLCJ1c2VySWQiOiI1NDQyNTk1OTUifQ==</vt:lpwstr>
  </property>
  <property fmtid="{D5CDD505-2E9C-101B-9397-08002B2CF9AE}" pid="4" name="ICV">
    <vt:lpwstr>493D15B0208848C4A36C9F48FAC42DED_12</vt:lpwstr>
  </property>
</Properties>
</file>