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版本号：JC2025-CG0502(022)20250917001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渭北新城雨水泵站备用供电线路维修改造项目EPC总承包(二次)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JC2025-CG0502(022)</w:t>
      </w:r>
      <w:r>
        <w:br/>
      </w:r>
      <w:r>
        <w:br/>
      </w:r>
      <w:r>
        <w:br/>
      </w:r>
    </w:p>
    <w:p>
      <w:pPr>
        <w:pStyle w:val="null3"/>
        <w:jc w:val="center"/>
        <w:outlineLvl w:val="2"/>
      </w:pPr>
      <w:r>
        <w:rPr>
          <w:rFonts w:ascii="仿宋_GB2312" w:hAnsi="仿宋_GB2312" w:cs="仿宋_GB2312" w:eastAsia="仿宋_GB2312"/>
          <w:sz w:val="28"/>
          <w:b/>
        </w:rPr>
        <w:t>西安经济技术开发区渭北新城发展建设管理中心</w:t>
      </w:r>
    </w:p>
    <w:p>
      <w:pPr>
        <w:pStyle w:val="null3"/>
        <w:jc w:val="center"/>
        <w:outlineLvl w:val="2"/>
      </w:pPr>
      <w:r>
        <w:rPr>
          <w:rFonts w:ascii="仿宋_GB2312" w:hAnsi="仿宋_GB2312" w:cs="仿宋_GB2312" w:eastAsia="仿宋_GB2312"/>
          <w:sz w:val="28"/>
          <w:b/>
        </w:rPr>
        <w:t>陕西景诚项目管理有限公司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陕西景诚项目管理有限公司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西安经济技术开发区渭北新城发展建设管理中心</w:t>
      </w:r>
      <w:r>
        <w:rPr>
          <w:rFonts w:ascii="仿宋_GB2312" w:hAnsi="仿宋_GB2312" w:cs="仿宋_GB2312" w:eastAsia="仿宋_GB2312"/>
        </w:rPr>
        <w:t>委托，拟对</w:t>
      </w:r>
      <w:r>
        <w:rPr>
          <w:rFonts w:ascii="仿宋_GB2312" w:hAnsi="仿宋_GB2312" w:cs="仿宋_GB2312" w:eastAsia="仿宋_GB2312"/>
        </w:rPr>
        <w:t>渭北新城雨水泵站备用供电线路维修改造项目EPC总承包(二次)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JC2025-CG0502(022)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渭北新城雨水泵站备用供电线路维修改造项目EPC总承包(二次)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本项目为确保雨水泵站供电系统的稳定运行，计划建设第二路供电线路，保障专线断电等应急工况下排水能力，建设内容主要包括更换环网箱、线缆敷设等工程。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采购包1（渭北新城雨水泵站备用供电线路维修改造项目EPC总承包）：属于专门面向中小企业采购。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pPr>
        <w:pStyle w:val="null3"/>
      </w:pPr>
      <w:r>
        <w:rPr>
          <w:rFonts w:ascii="仿宋_GB2312" w:hAnsi="仿宋_GB2312" w:cs="仿宋_GB2312" w:eastAsia="仿宋_GB2312"/>
        </w:rPr>
        <w:t>3、税收缴纳证明：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保资金缴纳证明：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5、无重大违法记录声明：提供参加本次政府采购活动前三年内在经营活动中没有重大违法记录的书面声明；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7、供应商应授权合法的人员参加磋商全过程：法定代表人直接参加磋商的，须出具法定代表人身份证明及身份证，法定代表人委托代理人参加磋商的，须出具法定代表人授权委托书及身份证；</w:t>
      </w:r>
    </w:p>
    <w:p>
      <w:pPr>
        <w:pStyle w:val="null3"/>
      </w:pPr>
      <w:r>
        <w:rPr>
          <w:rFonts w:ascii="仿宋_GB2312" w:hAnsi="仿宋_GB2312" w:cs="仿宋_GB2312" w:eastAsia="仿宋_GB2312"/>
        </w:rPr>
        <w:t>8、供应商资质：供应商须同时具备以下资质要求：①设计资质：具备工程设计综合资质甲级或电力行业工程设计乙级及以上资质；②施工资质：具备电力工程施工总承包三级及以上资质，同时具备《承装(修、试)电力设施许可证》五级及以上（旧证）或《承装(修、试)电力设施许可证》三级及以上（新证），并具有有效的安全生产许可证。非联合体投标，须同时满足上述资格要求；</w:t>
      </w:r>
    </w:p>
    <w:p>
      <w:pPr>
        <w:pStyle w:val="null3"/>
      </w:pPr>
      <w:r>
        <w:rPr>
          <w:rFonts w:ascii="仿宋_GB2312" w:hAnsi="仿宋_GB2312" w:cs="仿宋_GB2312" w:eastAsia="仿宋_GB2312"/>
        </w:rPr>
        <w:t>9、拟派项目负责人：拟派工程总承包项目负责人须具备以下①或②的资格要求：①设计负责人要求：具备电力工程相关专业中级及以上技术职称或具备注册电气工程师（供配电）执业资格且在本单位注册；②施工负责人要求：具备机电工程专业二级及以上注册建造师证书且在本单位注册，并具备有效的安全生产考核合格证（建安B证），且无在建工程（提供无在建项目承诺书）。拟派工程总承包项目负责人与设计负责人或施工负责人可为同一人。非联合体投标，须同时满足上述资格要求；</w:t>
      </w:r>
    </w:p>
    <w:p>
      <w:pPr>
        <w:pStyle w:val="null3"/>
      </w:pPr>
      <w:r>
        <w:rPr>
          <w:rFonts w:ascii="仿宋_GB2312" w:hAnsi="仿宋_GB2312" w:cs="仿宋_GB2312" w:eastAsia="仿宋_GB2312"/>
        </w:rPr>
        <w:t>10、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p>
      <w:pPr>
        <w:pStyle w:val="null3"/>
      </w:pPr>
      <w:r>
        <w:rPr>
          <w:rFonts w:ascii="仿宋_GB2312" w:hAnsi="仿宋_GB2312" w:cs="仿宋_GB2312" w:eastAsia="仿宋_GB2312"/>
        </w:rPr>
        <w:t>11、关联关系：单位负责人为同一人或者存在直接控股、管理关系的不同单位不得同时参加；</w:t>
      </w:r>
    </w:p>
    <w:p>
      <w:pPr>
        <w:pStyle w:val="null3"/>
      </w:pPr>
      <w:r>
        <w:rPr>
          <w:rFonts w:ascii="仿宋_GB2312" w:hAnsi="仿宋_GB2312" w:cs="仿宋_GB2312" w:eastAsia="仿宋_GB2312"/>
        </w:rPr>
        <w:t>12、本项目接受联合体投标：本项目接受联合体投标。联合体投标时，由联合体牵头单位代表联合体各方办理本项目投标过程中的一切事宜（联合体牵头单位应为施工单位）。联合体各方应签订联合体协议书，明确联合体牵头单位及各方义务，联合体牵头方及成员总数不得超过2个。联合体各方须同时满足上述（1-6、10、11项）规定的资格条件。牵头单位和其法定代表人或其委托代理人的印章或签字代表联合体各成员单位相应的印章或签字（联合体协议书除外）。联合体各方不得再以本单位名义单独或参加其他联合体在本项目中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西安经济技术开发区渭北新城发展建设管理中心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西安市经开区渭北新城秦王一路渭北国际商务中心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张兴京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029-83993160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陕西景诚项目管理有限公司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西安市高新区沣惠南路16号泰华金贸国际4号楼2203室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蔡文娟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17392954351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邓谷元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采购包1：492,200.00元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由成交供应商在领取《成交通知书》时，一次性向招标代理机构支付。2.收费依据：以成交价作为基数，按照原《国家计委关于印发&lt;招标代理服务收费管理暂行办法&gt;的通知》（计价格[2002]1980号）和《国家发展改革委办公厅关于招标代理服务收费有关问题的通知》（发改价格[2003]857号）文件的通知标准进行计算。3.缴纳账户信息：开户名称：陕西景诚项目管理有限公司，开户行：西安银行股份有限公司长安西路支行，账号：515011580000149177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西安经济技术开发区渭北新城发展建设管理中心</w:t>
      </w:r>
      <w:r>
        <w:rPr>
          <w:rFonts w:ascii="仿宋_GB2312" w:hAnsi="仿宋_GB2312" w:cs="仿宋_GB2312" w:eastAsia="仿宋_GB2312"/>
        </w:rPr>
        <w:t>和</w:t>
      </w:r>
      <w:r>
        <w:rPr>
          <w:rFonts w:ascii="仿宋_GB2312" w:hAnsi="仿宋_GB2312" w:cs="仿宋_GB2312" w:eastAsia="仿宋_GB2312"/>
        </w:rPr>
        <w:t>陕西景诚项目管理有限公司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西安经济技术开发区渭北新城发展建设管理中心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陕西景诚项目管理有限公司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西安经济技术开发区渭北新城发展建设管理中心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陕西景诚项目管理有限公司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一、设计质量标准：符合国家现行规范及行业标准；施工质量标准：达到国家现行施工验收规范“合格”标准。 二、交付竣工验收的工程，必须符合规定的工程质量标准，有完整的工程技术经济资料和经签署的工程保修书，并具备国家规定的其他竣工条件。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联系人：蔡文娟</w:t>
      </w:r>
    </w:p>
    <w:p>
      <w:pPr>
        <w:pStyle w:val="null3"/>
      </w:pPr>
      <w:r>
        <w:rPr>
          <w:rFonts w:ascii="仿宋_GB2312" w:hAnsi="仿宋_GB2312" w:cs="仿宋_GB2312" w:eastAsia="仿宋_GB2312"/>
        </w:rPr>
        <w:t>联系电话：17392954351</w:t>
      </w:r>
    </w:p>
    <w:p>
      <w:pPr>
        <w:pStyle w:val="null3"/>
      </w:pPr>
      <w:r>
        <w:rPr>
          <w:rFonts w:ascii="仿宋_GB2312" w:hAnsi="仿宋_GB2312" w:cs="仿宋_GB2312" w:eastAsia="仿宋_GB2312"/>
        </w:rPr>
        <w:t>地址：西安市高新区沣惠南路16号泰华金贸国际4号楼2203室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本项目为确保雨水泵站供电系统的稳定运行，计划建设第二路供电线路，保障专线断电等应急工况下排水能力，建设内容主要包括更换环网箱、线缆敷设等工程。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492,200.00</w:t>
      </w:r>
    </w:p>
    <w:p>
      <w:pPr>
        <w:pStyle w:val="null3"/>
      </w:pPr>
      <w:r>
        <w:rPr>
          <w:rFonts w:ascii="仿宋_GB2312" w:hAnsi="仿宋_GB2312" w:cs="仿宋_GB2312" w:eastAsia="仿宋_GB2312"/>
        </w:rPr>
        <w:t>采购包最高限价（元）: 492,200.00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渭北新城雨水泵站备用供电线路维修改造项目EPC总承包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492,200.00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标的名称：渭北新城雨水泵站备用供电线路维修改造项目EPC总承包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一、技术要求</w:t>
            </w:r>
          </w:p>
          <w:p>
            <w:pPr>
              <w:pStyle w:val="null3"/>
            </w:pPr>
            <w:r>
              <w:rPr>
                <w:rFonts w:ascii="仿宋_GB2312" w:hAnsi="仿宋_GB2312" w:cs="仿宋_GB2312" w:eastAsia="仿宋_GB2312"/>
                <w:sz w:val="20"/>
              </w:rPr>
              <w:t>1、项目概况：</w:t>
            </w:r>
          </w:p>
          <w:p>
            <w:pPr>
              <w:pStyle w:val="null3"/>
            </w:pPr>
            <w:r>
              <w:rPr>
                <w:rFonts w:ascii="仿宋_GB2312" w:hAnsi="仿宋_GB2312" w:cs="仿宋_GB2312" w:eastAsia="仿宋_GB2312"/>
                <w:sz w:val="20"/>
              </w:rPr>
              <w:t xml:space="preserve">  渭北新城雨水泵站位于渭河左岸大堤秦王二桥以东，由原临潼组团管委会于</w:t>
            </w:r>
            <w:r>
              <w:rPr>
                <w:rFonts w:ascii="仿宋_GB2312" w:hAnsi="仿宋_GB2312" w:cs="仿宋_GB2312" w:eastAsia="仿宋_GB2312"/>
                <w:sz w:val="20"/>
              </w:rPr>
              <w:t>2017年建设完成投入使用。泵站设计10kV供电专线两条，因上级变电站容量、泵站负荷电流未到要求，仅接入10kV专线一条，第二路供电线路因上级变电站容量不足问题，一直未建设。目前10kV专线投入使用至今已8年，近期先后出现2次断电故障，巡检发现线路绝缘层老化、线路连接端子氧化，易引发供电中断。为确保雨水泵站供电系统的稳定运行，计划建设第二路供电线路，保障专线断电等应急工况下排水能力，建设内容主要包括更换环网箱、线缆敷设等工程</w:t>
            </w:r>
            <w:r>
              <w:rPr>
                <w:rFonts w:ascii="仿宋_GB2312" w:hAnsi="仿宋_GB2312" w:cs="仿宋_GB2312" w:eastAsia="仿宋_GB2312"/>
                <w:sz w:val="20"/>
              </w:rPr>
              <w:t>。</w:t>
            </w:r>
          </w:p>
          <w:p>
            <w:pPr>
              <w:pStyle w:val="null3"/>
            </w:pPr>
            <w:r>
              <w:rPr>
                <w:rFonts w:ascii="仿宋_GB2312" w:hAnsi="仿宋_GB2312" w:cs="仿宋_GB2312" w:eastAsia="仿宋_GB2312"/>
                <w:sz w:val="20"/>
              </w:rPr>
              <w:t>2、设计要求</w:t>
            </w:r>
          </w:p>
          <w:p>
            <w:pPr>
              <w:pStyle w:val="null3"/>
            </w:pPr>
            <w:r>
              <w:rPr>
                <w:rFonts w:ascii="仿宋_GB2312" w:hAnsi="仿宋_GB2312" w:cs="仿宋_GB2312" w:eastAsia="仿宋_GB2312"/>
                <w:sz w:val="20"/>
              </w:rPr>
              <w:t>（</w:t>
            </w:r>
            <w:r>
              <w:rPr>
                <w:rFonts w:ascii="仿宋_GB2312" w:hAnsi="仿宋_GB2312" w:cs="仿宋_GB2312" w:eastAsia="仿宋_GB2312"/>
                <w:sz w:val="20"/>
              </w:rPr>
              <w:t>1）完成本项目初步设计（含概算）、施工图设计，并提供施工阶段的设计后续服务等工作。</w:t>
            </w:r>
          </w:p>
          <w:p>
            <w:pPr>
              <w:pStyle w:val="null3"/>
            </w:pPr>
            <w:r>
              <w:rPr>
                <w:rFonts w:ascii="仿宋_GB2312" w:hAnsi="仿宋_GB2312" w:cs="仿宋_GB2312" w:eastAsia="仿宋_GB2312"/>
                <w:sz w:val="20"/>
              </w:rPr>
              <w:t>（</w:t>
            </w:r>
            <w:r>
              <w:rPr>
                <w:rFonts w:ascii="仿宋_GB2312" w:hAnsi="仿宋_GB2312" w:cs="仿宋_GB2312" w:eastAsia="仿宋_GB2312"/>
                <w:sz w:val="20"/>
              </w:rPr>
              <w:t>2）提交的设计成果文件须经上级部门批准，并获取批复文件。</w:t>
            </w:r>
          </w:p>
          <w:p>
            <w:pPr>
              <w:pStyle w:val="null3"/>
            </w:pPr>
            <w:r>
              <w:rPr>
                <w:rFonts w:ascii="仿宋_GB2312" w:hAnsi="仿宋_GB2312" w:cs="仿宋_GB2312" w:eastAsia="仿宋_GB2312"/>
                <w:sz w:val="20"/>
              </w:rPr>
              <w:t>（</w:t>
            </w:r>
            <w:r>
              <w:rPr>
                <w:rFonts w:ascii="仿宋_GB2312" w:hAnsi="仿宋_GB2312" w:cs="仿宋_GB2312" w:eastAsia="仿宋_GB2312"/>
                <w:sz w:val="20"/>
              </w:rPr>
              <w:t>3）技术要求</w:t>
            </w:r>
          </w:p>
          <w:p>
            <w:pPr>
              <w:pStyle w:val="null3"/>
            </w:pPr>
            <w:r>
              <w:rPr>
                <w:rFonts w:ascii="仿宋_GB2312" w:hAnsi="仿宋_GB2312" w:cs="仿宋_GB2312" w:eastAsia="仿宋_GB2312"/>
                <w:sz w:val="20"/>
              </w:rPr>
              <w:t xml:space="preserve">  本工程的设计过程和成果</w:t>
            </w:r>
            <w:r>
              <w:rPr>
                <w:rFonts w:ascii="仿宋_GB2312" w:hAnsi="仿宋_GB2312" w:cs="仿宋_GB2312" w:eastAsia="仿宋_GB2312"/>
                <w:sz w:val="20"/>
              </w:rPr>
              <w:t>文件</w:t>
            </w:r>
            <w:r>
              <w:rPr>
                <w:rFonts w:ascii="仿宋_GB2312" w:hAnsi="仿宋_GB2312" w:cs="仿宋_GB2312" w:eastAsia="仿宋_GB2312"/>
                <w:sz w:val="20"/>
              </w:rPr>
              <w:t>必须符合国家有关工程建设标准强制性条文、建设部关于设计方面现行的标准、规范、规程、定额、办法、示例以及项目所在地关于工程设计方面的文件、规定，设计文件须满足国家或地方规范及标准</w:t>
            </w:r>
            <w:r>
              <w:rPr>
                <w:rFonts w:ascii="仿宋_GB2312" w:hAnsi="仿宋_GB2312" w:cs="仿宋_GB2312" w:eastAsia="仿宋_GB2312"/>
                <w:sz w:val="20"/>
              </w:rPr>
              <w:t>、《电力电缆设计规范》、《城市电力网规划设计导则》、《城市电力电缆线路设计技术规定》、《城市工程管线综合规划规范》</w:t>
            </w:r>
            <w:r>
              <w:rPr>
                <w:rFonts w:ascii="仿宋_GB2312" w:hAnsi="仿宋_GB2312" w:cs="仿宋_GB2312" w:eastAsia="仿宋_GB2312"/>
                <w:sz w:val="20"/>
              </w:rPr>
              <w:t>等</w:t>
            </w:r>
            <w:r>
              <w:rPr>
                <w:rFonts w:ascii="仿宋_GB2312" w:hAnsi="仿宋_GB2312" w:cs="仿宋_GB2312" w:eastAsia="仿宋_GB2312"/>
                <w:sz w:val="20"/>
              </w:rPr>
              <w:t>要求</w:t>
            </w:r>
            <w:r>
              <w:rPr>
                <w:rFonts w:ascii="仿宋_GB2312" w:hAnsi="仿宋_GB2312" w:cs="仿宋_GB2312" w:eastAsia="仿宋_GB2312"/>
                <w:sz w:val="20"/>
              </w:rPr>
              <w:t>，</w:t>
            </w:r>
            <w:r>
              <w:rPr>
                <w:rFonts w:ascii="仿宋_GB2312" w:hAnsi="仿宋_GB2312" w:cs="仿宋_GB2312" w:eastAsia="仿宋_GB2312"/>
                <w:sz w:val="20"/>
              </w:rPr>
              <w:t>并满足发包人对施工图设计的技术标准、深度要求。在设计过程中，如国家或有关部门颁布了新的技术标准或规范，则设计单位应采用新的标准或规范进行设计。</w:t>
            </w:r>
          </w:p>
          <w:p>
            <w:pPr>
              <w:pStyle w:val="null3"/>
            </w:pPr>
            <w:r>
              <w:rPr>
                <w:rFonts w:ascii="仿宋_GB2312" w:hAnsi="仿宋_GB2312" w:cs="仿宋_GB2312" w:eastAsia="仿宋_GB2312"/>
                <w:sz w:val="20"/>
              </w:rPr>
              <w:t>3、施工要求</w:t>
            </w:r>
          </w:p>
          <w:p>
            <w:pPr>
              <w:pStyle w:val="null3"/>
            </w:pPr>
            <w:r>
              <w:rPr>
                <w:rFonts w:ascii="仿宋_GB2312" w:hAnsi="仿宋_GB2312" w:cs="仿宋_GB2312" w:eastAsia="仿宋_GB2312"/>
                <w:sz w:val="20"/>
              </w:rPr>
              <w:t>（</w:t>
            </w:r>
            <w:r>
              <w:rPr>
                <w:rFonts w:ascii="仿宋_GB2312" w:hAnsi="仿宋_GB2312" w:cs="仿宋_GB2312" w:eastAsia="仿宋_GB2312"/>
                <w:sz w:val="20"/>
              </w:rPr>
              <w:t>1）完成本项目的采购及施工，直至竣工验收合格并整体移交、工程保修期内的缺陷修复和保修工作，同时承担相关协调工作等内容。</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技术规范及要求：</w:t>
            </w:r>
            <w:r>
              <w:rPr>
                <w:rFonts w:ascii="仿宋_GB2312" w:hAnsi="仿宋_GB2312" w:cs="仿宋_GB2312" w:eastAsia="仿宋_GB2312"/>
                <w:sz w:val="20"/>
              </w:rPr>
              <w:t>依据施工图纸及</w:t>
            </w:r>
            <w:r>
              <w:rPr>
                <w:rFonts w:ascii="仿宋_GB2312" w:hAnsi="仿宋_GB2312" w:cs="仿宋_GB2312" w:eastAsia="仿宋_GB2312"/>
                <w:sz w:val="20"/>
              </w:rPr>
              <w:t>国家、省、市现行的相关规定及标准文件</w:t>
            </w:r>
            <w:r>
              <w:rPr>
                <w:rFonts w:ascii="仿宋_GB2312" w:hAnsi="仿宋_GB2312" w:cs="仿宋_GB2312" w:eastAsia="仿宋_GB2312"/>
                <w:sz w:val="20"/>
              </w:rPr>
              <w:t>组织施工，</w:t>
            </w:r>
            <w:r>
              <w:rPr>
                <w:rFonts w:ascii="仿宋_GB2312" w:hAnsi="仿宋_GB2312" w:cs="仿宋_GB2312" w:eastAsia="仿宋_GB2312"/>
                <w:sz w:val="20"/>
              </w:rPr>
              <w:t>提供的设备质量须满足技术要求及合同要求。</w:t>
            </w:r>
          </w:p>
          <w:p>
            <w:pPr>
              <w:pStyle w:val="null3"/>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施工验收：施工图设计文件中采用的相关施工规范及</w:t>
            </w:r>
            <w:r>
              <w:rPr>
                <w:rFonts w:ascii="仿宋_GB2312" w:hAnsi="仿宋_GB2312" w:cs="仿宋_GB2312" w:eastAsia="仿宋_GB2312"/>
                <w:sz w:val="20"/>
              </w:rPr>
              <w:t>国家、省、市现行的相关规定及标准文件</w:t>
            </w:r>
            <w:r>
              <w:rPr>
                <w:rFonts w:ascii="仿宋_GB2312" w:hAnsi="仿宋_GB2312" w:cs="仿宋_GB2312" w:eastAsia="仿宋_GB2312"/>
                <w:sz w:val="20"/>
              </w:rPr>
              <w:t>进行验收。</w:t>
            </w:r>
          </w:p>
          <w:p>
            <w:pPr>
              <w:pStyle w:val="null3"/>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运输、进度：成交单位负责施工过程中材料的运输</w:t>
            </w:r>
            <w:r>
              <w:rPr>
                <w:rFonts w:ascii="仿宋_GB2312" w:hAnsi="仿宋_GB2312" w:cs="仿宋_GB2312" w:eastAsia="仿宋_GB2312"/>
                <w:sz w:val="20"/>
              </w:rPr>
              <w:t>、</w:t>
            </w:r>
            <w:r>
              <w:rPr>
                <w:rFonts w:ascii="仿宋_GB2312" w:hAnsi="仿宋_GB2312" w:cs="仿宋_GB2312" w:eastAsia="仿宋_GB2312"/>
                <w:sz w:val="20"/>
              </w:rPr>
              <w:t>施工及其他伴随服务。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缺陷责任期（工程质量保修期）：工程竣工验收合格后</w:t>
            </w:r>
            <w:r>
              <w:rPr>
                <w:rFonts w:ascii="仿宋_GB2312" w:hAnsi="仿宋_GB2312" w:cs="仿宋_GB2312" w:eastAsia="仿宋_GB2312"/>
                <w:sz w:val="20"/>
              </w:rPr>
              <w:t>2年，成交人承诺的质保期起始时间为终验合格之日。</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二、商务要求</w:t>
            </w:r>
          </w:p>
          <w:p>
            <w:pPr>
              <w:pStyle w:val="null3"/>
            </w:pPr>
            <w:r>
              <w:rPr>
                <w:rFonts w:ascii="仿宋_GB2312" w:hAnsi="仿宋_GB2312" w:cs="仿宋_GB2312" w:eastAsia="仿宋_GB2312"/>
                <w:sz w:val="20"/>
              </w:rPr>
              <w:t>1、服务期：合同签订之日起</w:t>
            </w:r>
            <w:r>
              <w:rPr>
                <w:rFonts w:ascii="仿宋_GB2312" w:hAnsi="仿宋_GB2312" w:cs="仿宋_GB2312" w:eastAsia="仿宋_GB2312"/>
                <w:sz w:val="20"/>
              </w:rPr>
              <w:t>90</w:t>
            </w:r>
            <w:r>
              <w:rPr>
                <w:rFonts w:ascii="仿宋_GB2312" w:hAnsi="仿宋_GB2312" w:cs="仿宋_GB2312" w:eastAsia="仿宋_GB2312"/>
                <w:sz w:val="20"/>
              </w:rPr>
              <w:t>日历天。</w:t>
            </w:r>
          </w:p>
          <w:p>
            <w:pPr>
              <w:pStyle w:val="null3"/>
            </w:pPr>
            <w:r>
              <w:rPr>
                <w:rFonts w:ascii="仿宋_GB2312" w:hAnsi="仿宋_GB2312" w:cs="仿宋_GB2312" w:eastAsia="仿宋_GB2312"/>
                <w:sz w:val="20"/>
              </w:rPr>
              <w:t>2、服务地点：采购人指定地点。</w:t>
            </w:r>
          </w:p>
          <w:p>
            <w:pPr>
              <w:pStyle w:val="null3"/>
            </w:pPr>
            <w:r>
              <w:rPr>
                <w:rFonts w:ascii="仿宋_GB2312" w:hAnsi="仿宋_GB2312" w:cs="仿宋_GB2312" w:eastAsia="仿宋_GB2312"/>
                <w:sz w:val="20"/>
              </w:rPr>
              <w:t>3</w:t>
            </w:r>
            <w:r>
              <w:rPr>
                <w:rFonts w:ascii="仿宋_GB2312" w:hAnsi="仿宋_GB2312" w:cs="仿宋_GB2312" w:eastAsia="仿宋_GB2312"/>
                <w:sz w:val="20"/>
              </w:rPr>
              <w:t>、质量</w:t>
            </w:r>
            <w:r>
              <w:rPr>
                <w:rFonts w:ascii="仿宋_GB2312" w:hAnsi="仿宋_GB2312" w:cs="仿宋_GB2312" w:eastAsia="仿宋_GB2312"/>
                <w:sz w:val="20"/>
              </w:rPr>
              <w:t>标准</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）设计质量标准：符合国家现行规范及行业标准；（</w:t>
            </w:r>
            <w:r>
              <w:rPr>
                <w:rFonts w:ascii="仿宋_GB2312" w:hAnsi="仿宋_GB2312" w:cs="仿宋_GB2312" w:eastAsia="仿宋_GB2312"/>
                <w:sz w:val="20"/>
              </w:rPr>
              <w:t>2</w:t>
            </w:r>
            <w:r>
              <w:rPr>
                <w:rFonts w:ascii="仿宋_GB2312" w:hAnsi="仿宋_GB2312" w:cs="仿宋_GB2312" w:eastAsia="仿宋_GB2312"/>
                <w:sz w:val="20"/>
              </w:rPr>
              <w:t>）施工质量标准：达到国家现行施工验收规范</w:t>
            </w:r>
            <w:r>
              <w:rPr>
                <w:rFonts w:ascii="仿宋_GB2312" w:hAnsi="仿宋_GB2312" w:cs="仿宋_GB2312" w:eastAsia="仿宋_GB2312"/>
                <w:sz w:val="20"/>
              </w:rPr>
              <w:t>“合格”标准。</w:t>
            </w:r>
          </w:p>
          <w:p>
            <w:pPr>
              <w:pStyle w:val="null3"/>
            </w:pPr>
            <w:r>
              <w:rPr>
                <w:rFonts w:ascii="仿宋_GB2312" w:hAnsi="仿宋_GB2312" w:cs="仿宋_GB2312" w:eastAsia="仿宋_GB2312"/>
                <w:sz w:val="20"/>
              </w:rPr>
              <w:t>4</w:t>
            </w:r>
            <w:r>
              <w:rPr>
                <w:rFonts w:ascii="仿宋_GB2312" w:hAnsi="仿宋_GB2312" w:cs="仿宋_GB2312" w:eastAsia="仿宋_GB2312"/>
                <w:sz w:val="20"/>
              </w:rPr>
              <w:t>、付款方式：（</w:t>
            </w:r>
            <w:r>
              <w:rPr>
                <w:rFonts w:ascii="仿宋_GB2312" w:hAnsi="仿宋_GB2312" w:cs="仿宋_GB2312" w:eastAsia="仿宋_GB2312"/>
                <w:sz w:val="20"/>
              </w:rPr>
              <w:t>1）合同签订后30日历天内，甲方向乙方支付合同金额的30%；（2）工程竣工验收合格并正式供电后，支付至合同金额的90%，结算审计完成后甲方向乙方支付至结算审定金额的100%；（3）每期付款时供应商应提供等额发票申请款项。</w:t>
            </w:r>
          </w:p>
          <w:p>
            <w:pPr>
              <w:pStyle w:val="null3"/>
            </w:pPr>
            <w:r>
              <w:rPr>
                <w:rFonts w:ascii="仿宋_GB2312" w:hAnsi="仿宋_GB2312" w:cs="仿宋_GB2312" w:eastAsia="仿宋_GB2312"/>
                <w:sz w:val="20"/>
              </w:rPr>
              <w:t>5</w:t>
            </w:r>
            <w:r>
              <w:rPr>
                <w:rFonts w:ascii="仿宋_GB2312" w:hAnsi="仿宋_GB2312" w:cs="仿宋_GB2312" w:eastAsia="仿宋_GB2312"/>
                <w:sz w:val="20"/>
              </w:rPr>
              <w:t>、验收标准：（</w:t>
            </w:r>
            <w:r>
              <w:rPr>
                <w:rFonts w:ascii="仿宋_GB2312" w:hAnsi="仿宋_GB2312" w:cs="仿宋_GB2312" w:eastAsia="仿宋_GB2312"/>
                <w:sz w:val="20"/>
              </w:rPr>
              <w:t>1）符合国家现行规范及行业标准；（2）采购人根据合同要求进行验收，验收依据为合同文本、竞争性磋商文件、响应文件；（3）验收合格后，填写验收单，并向采购人提交所有资料，以便使用单位日后管理和维护；（4）验收过程中所产生的费用由供应商承担。</w:t>
            </w:r>
          </w:p>
          <w:p>
            <w:pPr>
              <w:pStyle w:val="null3"/>
              <w:jc w:val="both"/>
            </w:pPr>
            <w:r>
              <w:rPr>
                <w:rFonts w:ascii="仿宋_GB2312" w:hAnsi="仿宋_GB2312" w:cs="仿宋_GB2312" w:eastAsia="仿宋_GB2312"/>
                <w:sz w:val="20"/>
              </w:rPr>
              <w:t>备注：商务要求为实质性条款，不允许负偏离。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计质量标准：符合国家现行规范及行业标准；施工质量标准：达到国家现行施工验收规范“合格”标准。2、交付竣工验收的工程，必须符合规定的工程质量标准，有完整的工程技术经济资料和经签署的工程保修书，并具备国家规定的其他竣工条件。工程竣工经验收合格后，方可交付使用；未经验收或者验收不合格的，不得交付使用。3、验收结果合格的，采购人应向成交供应商出具履约验收报告，成交供应商凭验收报告办理相关手续。4、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合同签订后30日历天内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工程竣工验收合格并正式供电后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结算审计完成后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工程或服务，提供的工程或服务质量不能满足技术要求及合同要求，采购人应当将供应商违约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约行为进行相应的处罚。3、合同争议的最终解决方式为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的磋商报价应是为完成本项目磋商文件中所提出的服务范围及施工范围要求的全部工作内容的价格体现，包括供应商完成本项目所需的直接费、间接费、利润、税金及其它相关的一切费用。包括但不限于：人工费、材料费、设备费、管理费、保险、运输、维护、验收费、缺陷修复及合同所有责任、义务和风险等全部费用。在提供服务或施工过程中的任何遗漏，均由成交供应商免费提供，采购人将不再支付任何费用。2、本项目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有效的主体资格证明：在中华人民共和国境内注册，依法取得并有效存续的营业执照（含电子营业执照）\事业单位法人证书\民办非企业单位登记证书\非企业专业服务机构执业许可证等；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法定代表人直接参加磋商的，须出具法定代表人身份证明及身份证，法定代表人委托代理人参加磋商的，须出具法定代表人授权委托书及身份证；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同时具备以下资质要求：①设计资质：具备工程设计综合资质甲级或电力行业工程设计乙级及以上资质；②施工资质：具备电力工程施工总承包三级及以上资质，同时具备《承装(修、试)电力设施许可证》五级及以上（旧证）或《承装(修、试)电力设施许可证》三级及以上（新证），并具有有效的安全生产许可证。非联合体投标，须同时满足上述资格要求；</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工程总承包项目负责人须具备以下①或②的资格要求：①设计负责人要求：具备电力工程相关专业中级及以上技术职称或具备注册电气工程师（供配电）执业资格且在本单位注册；②施工负责人要求：具备机电工程专业二级及以上注册建造师证书且在本单位注册，并具备有效的安全生产考核合格证（建安B证），且无在建工程（提供无在建项目承诺书）。拟派工程总承包项目负责人与设计负责人或施工负责人可为同一人。非联合体投标，须同时满足上述资格要求；</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单位负责人为同一人或者存在直接控股、管理关系的不同单位不得同时参加；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本项目接受联合体投标</w:t>
            </w:r>
          </w:p>
        </w:tc>
        <w:tc>
          <w:tcPr>
            <w:tcW w:type="dxa" w:w="3322"/>
          </w:tcPr>
          <w:p>
            <w:pPr>
              <w:pStyle w:val="null3"/>
            </w:pPr>
            <w:r>
              <w:rPr>
                <w:rFonts w:ascii="仿宋_GB2312" w:hAnsi="仿宋_GB2312" w:cs="仿宋_GB2312" w:eastAsia="仿宋_GB2312"/>
              </w:rPr>
              <w:t>本项目接受联合体投标。联合体投标时，由联合体牵头单位代表联合体各方办理本项目投标过程中的一切事宜（联合体牵头单位应为施工单位）。联合体各方应签订联合体协议书，明确联合体牵头单位及各方义务，联合体牵头方及成员总数不得超过2个。联合体各方须同时满足上述（1-6、10、11项）规定的资格条件。牵头单位和其法定代表人或其委托代理人的印章或签字代表联合体各成员单位相应的印章或签字（联合体协议书除外）。联合体各方不得再以本单位名义单独或参加其他联合体在本项目中投标。</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商务要求偏离表 开标一览表 技术要求偏离表 技术响应方案 中小企业声明函 报价表 联合体协议书 响应文件封面 残疾人福利性单位声明函 标的清单 投标报价组成表 供应商承诺书 响应函 监狱企业的证明文件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至少以下三处的项目名称、项目编号、合同包（未分合同包的除外）与本项目完全一致：（1）响应文件封面；（2）投标（响应）函；（3）法定代表人（单位负责人）委托授权书\身份证明。</w:t>
            </w:r>
          </w:p>
        </w:tc>
        <w:tc>
          <w:tcPr>
            <w:tcW w:type="dxa" w:w="1661"/>
          </w:tcPr>
          <w:p>
            <w:pPr>
              <w:pStyle w:val="null3"/>
            </w:pPr>
            <w:r>
              <w:rPr>
                <w:rFonts w:ascii="仿宋_GB2312" w:hAnsi="仿宋_GB2312" w:cs="仿宋_GB2312" w:eastAsia="仿宋_GB2312"/>
              </w:rPr>
              <w:t>响应文件封面 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商务要求偏离表 开标一览表 技术要求偏离表 技术响应方案 中小企业声明函 报价表 联合体协议书 响应文件封面 残疾人福利性单位声明函 标的清单 投标报价组成表 供应商承诺书 响应函 供应商资格证明文件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商务要求偏离表 开标一览表 技术要求偏离表 技术响应方案 中小企业声明函 报价表 联合体协议书 响应文件封面 残疾人福利性单位声明函 标的清单 投标报价组成表 供应商承诺书 响应函 监狱企业的证明文件 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开标一览表 标的清单 报价表 投标报价组成表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商务要求偏离表 开标一览表 技术要求偏离表 技术响应方案 标的清单 报价表 投标报价组成表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商务要求偏离表 技术要求偏离表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服务期、服务地点、质量标准</w:t>
            </w:r>
          </w:p>
        </w:tc>
        <w:tc>
          <w:tcPr>
            <w:tcW w:type="dxa" w:w="3322"/>
          </w:tcPr>
          <w:p>
            <w:pPr>
              <w:pStyle w:val="null3"/>
            </w:pPr>
            <w:r>
              <w:rPr>
                <w:rFonts w:ascii="仿宋_GB2312" w:hAnsi="仿宋_GB2312" w:cs="仿宋_GB2312" w:eastAsia="仿宋_GB2312"/>
              </w:rPr>
              <w:t>满足竞争性磋商文件的要求</w:t>
            </w:r>
          </w:p>
        </w:tc>
        <w:tc>
          <w:tcPr>
            <w:tcW w:type="dxa" w:w="1661"/>
          </w:tcPr>
          <w:p>
            <w:pPr>
              <w:pStyle w:val="null3"/>
            </w:pPr>
            <w:r>
              <w:rPr>
                <w:rFonts w:ascii="仿宋_GB2312" w:hAnsi="仿宋_GB2312" w:cs="仿宋_GB2312" w:eastAsia="仿宋_GB2312"/>
              </w:rPr>
              <w:t>商务要求偏离表 开标一览表 技术要求偏离表 技术响应方案</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商务要求偏离表 开标一览表 技术要求偏离表 技术响应方案 中小企业声明函 报价表 联合体协议书 响应文件封面 残疾人福利性单位声明函 标的清单 投标报价组成表 供应商承诺书 响应函 供应商资格证明文件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工程总承包管理方案</w:t>
            </w:r>
          </w:p>
        </w:tc>
        <w:tc>
          <w:tcPr>
            <w:tcW w:type="dxa" w:w="2492"/>
          </w:tcPr>
          <w:p>
            <w:pPr>
              <w:pStyle w:val="null3"/>
            </w:pPr>
            <w:r>
              <w:rPr>
                <w:rFonts w:ascii="仿宋_GB2312" w:hAnsi="仿宋_GB2312" w:cs="仿宋_GB2312" w:eastAsia="仿宋_GB2312"/>
              </w:rPr>
              <w:t>供应商针对本项目EPC总承包模式建设管理的理解和工作构想及思路：①在EPC实施过程中设计与施工的工作衔接及相关管理配合方案、思路；②重点和难点把握的完整性、准确性及有相应应对措施；③造价分析及指标优化方案等。评标委员会根据方案的全面性、合理性、科学性和可行性等进行评审，每小项计1-3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针对本项目有详细的： ①各专业工程节点优化方案、工艺条件分析、结构合理、功能齐全，有相应的优化方案及减少改动的措施（0-3分）；②设计管理机构的构成和设计人员的配备（0-3分）；③设计组织方案及各阶段计划进度安排（0-3分）；④施工图设计质量控制措施（0-3分）；⑤工程经济的合理性分析、评价。重点关注功能、设计指标、投资控制等是否符合磋商文件提出的各项要求，投资估算（或概算）是否与设计方案匹配、是否结合现场建设条件，各项指标取值是否合理、是否满足相关规范要求、设计过程中工程费用的控制措施是否合理等（0-3分）； 评标委员会根据全面性、合理性、科学性和可行性等进行评审；缺项或严重错误者该分项得0分。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有详细的①施工方案；②施工质量保障；③施工安全保障；④技术组织措施；⑤文明施工、环境保护保障措施；⑥施工整体成本管控方案和措施。以上能有效地保障项目实施过程的衔接、保证项目整体质量，评标委员会根据各供应商的内容进行评审，每小项计1-2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工期保障措施及施工进度计划</w:t>
            </w:r>
          </w:p>
        </w:tc>
        <w:tc>
          <w:tcPr>
            <w:tcW w:type="dxa" w:w="2492"/>
          </w:tcPr>
          <w:p>
            <w:pPr>
              <w:pStyle w:val="null3"/>
            </w:pPr>
            <w:r>
              <w:rPr>
                <w:rFonts w:ascii="仿宋_GB2312" w:hAnsi="仿宋_GB2312" w:cs="仿宋_GB2312" w:eastAsia="仿宋_GB2312"/>
              </w:rPr>
              <w:t>针对本项目有切实可行的①进度计划安排；②确保工期的技术组织措施；③确保工期的其他保障措施。针对性强，内容完整，每小项计1-3分，未提供得0分。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项目管理机构与项目人员配备</w:t>
            </w:r>
          </w:p>
        </w:tc>
        <w:tc>
          <w:tcPr>
            <w:tcW w:type="dxa" w:w="2492"/>
          </w:tcPr>
          <w:p>
            <w:pPr>
              <w:pStyle w:val="null3"/>
            </w:pPr>
            <w:r>
              <w:rPr>
                <w:rFonts w:ascii="仿宋_GB2312" w:hAnsi="仿宋_GB2312" w:cs="仿宋_GB2312" w:eastAsia="仿宋_GB2312"/>
              </w:rPr>
              <w:t>针对本项目有详细的①项目管理机构配备计划；②人员岗位职责；③团队人员配备情况（人员数量、专业分工、机构健全等）。针对性强，内容完整、科学合理，每小项计1-2分，未提供得0分。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拟提供设施设备的质量保障</w:t>
            </w:r>
          </w:p>
        </w:tc>
        <w:tc>
          <w:tcPr>
            <w:tcW w:type="dxa" w:w="2492"/>
          </w:tcPr>
          <w:p>
            <w:pPr>
              <w:pStyle w:val="null3"/>
            </w:pPr>
            <w:r>
              <w:rPr>
                <w:rFonts w:ascii="仿宋_GB2312" w:hAnsi="仿宋_GB2312" w:cs="仿宋_GB2312" w:eastAsia="仿宋_GB2312"/>
              </w:rPr>
              <w:t>1.对环网柜的性能指标综合比较，能完全满足采购人要求，切合项目实际，得0-3分；2.供应商须提供所投设施设备的①产品质量保证措施；②采用新技术、新产品、新工艺、新材料的方案或措施；③安装、调试质量保证措施，以上能有效地保障项目实施过程的衔接、保证项目整体质量，评标委员会根据各供应商的内容进行评审，每小项计0-2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供应商针对本项目有完善的①施工机械配备；②材料投入计划，以上方案能保障项目顺利实施，保证项目质量，评标委员会根据各供应商的内容进行评审，每小项计0-2分，未提供得0分。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供应商提供2022年1月1日（以中标通知书或合同时间为准）至今承接过类似项目业绩，每提供一项得2分，满分6分。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2.满足磋商文件要求且最后报价最低的供应商的价格为磋商基准价，其价格得分为满分。其他供应商的价格得分统一按照下列公式计算：磋商报价得分=（磋商基准价/最后磋商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投标报价组成表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详见附件：投标报价组成表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详见附件：联合体协议书</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详见附件：技术要求偏离表</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详见附件：技术响应方案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