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版本号：HRC-ZBDL-2025-0129920250922001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北田街办职工干部体检采购项目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HRC-ZBDL-2025-01299</w:t>
      </w:r>
      <w:r>
        <w:br/>
      </w:r>
      <w:r>
        <w:br/>
      </w:r>
      <w:r>
        <w:br/>
      </w:r>
    </w:p>
    <w:p>
      <w:pPr>
        <w:pStyle w:val="null3"/>
        <w:jc w:val="center"/>
        <w:outlineLvl w:val="2"/>
      </w:pPr>
      <w:r>
        <w:rPr>
          <w:rFonts w:ascii="仿宋_GB2312" w:hAnsi="仿宋_GB2312" w:cs="仿宋_GB2312" w:eastAsia="仿宋_GB2312"/>
          <w:sz w:val="28"/>
          <w:b/>
        </w:rPr>
        <w:t>西安市临潼区北田街道办事处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西安市临潼区北田街道办事处</w:t>
      </w:r>
      <w:r>
        <w:rPr>
          <w:rFonts w:ascii="仿宋_GB2312" w:hAnsi="仿宋_GB2312" w:cs="仿宋_GB2312" w:eastAsia="仿宋_GB2312"/>
        </w:rPr>
        <w:t>委托，拟对</w:t>
      </w:r>
      <w:r>
        <w:rPr>
          <w:rFonts w:ascii="仿宋_GB2312" w:hAnsi="仿宋_GB2312" w:cs="仿宋_GB2312" w:eastAsia="仿宋_GB2312"/>
        </w:rPr>
        <w:t>北田街办职工干部体检采购项目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HRC-ZBDL-2025-01299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北田街办职工干部体检采购项目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为保障街办干部职工身体健康，北田街办拟决定采购第三方机构开展2025年体检服务，体检人数约116人。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要求1：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和本单位证明（开标前六个月任意一月的个人养老保险缴纳证明）。</w:t>
      </w:r>
    </w:p>
    <w:p>
      <w:pPr>
        <w:pStyle w:val="null3"/>
      </w:pPr>
      <w:r>
        <w:rPr>
          <w:rFonts w:ascii="仿宋_GB2312" w:hAnsi="仿宋_GB2312" w:cs="仿宋_GB2312" w:eastAsia="仿宋_GB2312"/>
        </w:rPr>
        <w:t>2、特定资格条件要求2：供应商需提供合法有效的《医疗机构执业许可证》、《放射诊疗许可证》。</w:t>
      </w:r>
    </w:p>
    <w:p>
      <w:pPr>
        <w:pStyle w:val="null3"/>
      </w:pPr>
      <w:r>
        <w:rPr>
          <w:rFonts w:ascii="仿宋_GB2312" w:hAnsi="仿宋_GB2312" w:cs="仿宋_GB2312" w:eastAsia="仿宋_GB2312"/>
        </w:rPr>
        <w:t>3、特定资格条件要求3：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西安市临潼区北田街道办事处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临潼区北田街道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029-83989005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029-85393806/13227022154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采购预算为基数，参考《国家计委关于印发〈招标代理服务费管理暂行办法〉的通知》（计价格【2002】1980号）、《国家发展和改革委员会办公厅关于招标代理服务收费有关问题的通知》（发改办价格〔2003〕857号）规定计取，不足陆仟按陆仟元收取。 2、中标人在领取中标通知书前，须向采购代理机构一次性支付招标代理服务费。 3、代理服务费缴纳账户信息： 户名：华睿诚项目管理有限公司 开户行名称：西安银行小寨东路支行 账号：8160 1158 0000 1012 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西安市临潼区北田街道办事处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西安市临潼区北田街道办事处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西安市临潼区北田街道办事处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联系电话：029-85393806/13227022154</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为保障街办干部职工身体健康，北田街办拟决定采购第三方机构开展2025年体检服务，体检人数约116人。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123,400.00</w:t>
      </w:r>
    </w:p>
    <w:p>
      <w:pPr>
        <w:pStyle w:val="null3"/>
      </w:pPr>
      <w:r>
        <w:rPr>
          <w:rFonts w:ascii="仿宋_GB2312" w:hAnsi="仿宋_GB2312" w:cs="仿宋_GB2312" w:eastAsia="仿宋_GB2312"/>
        </w:rPr>
        <w:t>采购包最高限价（元）: 123,400.00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北田街办职工干部体检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标的名称：北田街办职工干部体检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90"/>
              <w:gridCol w:w="238"/>
              <w:gridCol w:w="3296"/>
            </w:tblGrid>
            <w:tr>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参数</w:t>
                  </w:r>
                </w:p>
                <w:p>
                  <w:pPr>
                    <w:pStyle w:val="null3"/>
                    <w:jc w:val="center"/>
                  </w:pPr>
                  <w:r>
                    <w:rPr>
                      <w:rFonts w:ascii="仿宋_GB2312" w:hAnsi="仿宋_GB2312" w:cs="仿宋_GB2312" w:eastAsia="仿宋_GB2312"/>
                      <w:sz w:val="24"/>
                      <w:color w:val="000000"/>
                    </w:rPr>
                    <w:t>性质</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32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技术参数与性能指标</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2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一、体检服务内容</w:t>
                  </w:r>
                </w:p>
                <w:tbl>
                  <w:tblPr>
                    <w:tblBorders>
                      <w:top w:val="none" w:color="000000" w:sz="4"/>
                      <w:left w:val="none" w:color="000000" w:sz="4"/>
                      <w:bottom w:val="none" w:color="000000" w:sz="4"/>
                      <w:right w:val="none" w:color="000000" w:sz="4"/>
                      <w:insideH w:val="none"/>
                      <w:insideV w:val="none"/>
                    </w:tblBorders>
                  </w:tblPr>
                  <w:tblGrid>
                    <w:gridCol w:w="241"/>
                    <w:gridCol w:w="544"/>
                    <w:gridCol w:w="1558"/>
                    <w:gridCol w:w="164"/>
                    <w:gridCol w:w="286"/>
                    <w:gridCol w:w="286"/>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分类</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体检项目意义</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男</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女（未婚）</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女（已婚）</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常规检查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健康体检调查问卷</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基础资料的收集，健康体检的必要的检查</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身高、体重、血压、体重指数、腰围</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过测量身高、体重、血压判定体重指数，初步筛查高血压、超重、肥胖；通过视、触、叩、听等检查方法，判断心肺肝脾肾及腹部是否正常；筛查皮肤、脊柱、四肢、淋巴结、甲状腺、乳腺等部位的异常；筛查近视，远视，色弱等疾病</w:t>
                        </w:r>
                      </w:p>
                    </w:tc>
                    <w:tc>
                      <w:tcPr>
                        <w:tcW w:type="dxa" w:w="164"/>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内科</w:t>
                        </w:r>
                      </w:p>
                    </w:tc>
                    <w:tc>
                      <w:tcPr>
                        <w:tcW w:type="dxa" w:w="1558"/>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外科</w:t>
                        </w:r>
                      </w:p>
                    </w:tc>
                    <w:tc>
                      <w:tcPr>
                        <w:tcW w:type="dxa" w:w="1558"/>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口腔科</w:t>
                        </w:r>
                      </w:p>
                    </w:tc>
                    <w:tc>
                      <w:tcPr>
                        <w:tcW w:type="dxa" w:w="1558"/>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耳鼻喉科</w:t>
                        </w:r>
                      </w:p>
                    </w:tc>
                    <w:tc>
                      <w:tcPr>
                        <w:tcW w:type="dxa" w:w="1558"/>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视力检查</w:t>
                        </w:r>
                      </w:p>
                    </w:tc>
                    <w:tc>
                      <w:tcPr>
                        <w:tcW w:type="dxa" w:w="1558"/>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色觉检查</w:t>
                        </w:r>
                      </w:p>
                    </w:tc>
                    <w:tc>
                      <w:tcPr>
                        <w:tcW w:type="dxa" w:w="1558"/>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妇科专项</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妇科检查</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包括外阴、阴道、宫颈、宫体及双侧附件的检查，全面的妇科检查对女性的身体健康至关重要。</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阴道分泌物</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检测主要用于筛查女性生殖系统炎症、肿瘤及判断雌激素水平等。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TCT液基薄层细胞制片术</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TCT检查是采用薄层液基细胞检测系统，检测宫颈细胞并进行细胞学分类的诊断，是目前国际上相对比较先进的一种宫颈癌细胞学检查技术，可以早期排除一些宫颈恶性病变的情况</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血液检查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静脉采血费</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首选肘正中静脉其次是头静脉、贵要静脉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w:t>
                        </w:r>
                        <w:r>
                          <w:rPr>
                            <w:rFonts w:ascii="仿宋_GB2312" w:hAnsi="仿宋_GB2312" w:cs="仿宋_GB2312" w:eastAsia="仿宋_GB2312"/>
                            <w:sz w:val="22"/>
                            <w:color w:val="000000"/>
                          </w:rPr>
                          <w:t>+五分类</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可以发现许多全身性疾病的早期迹象，诊断是否有贫血，是否有血液系统疾病等。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肝功九项</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可以了解肝细胞是否正常，肝脏的合成状态，是否发生病变，以及肝脏的受损程度等。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肾功四项</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可以了解肾功能、肾小球滤过功能是否正常，以及有无风湿、高血糖、痛风等。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血脂四项</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判断血脂代谢，血脂升高是导致高血压、冠心病、心肌梗塞、动脉粥样硬化的高度危险因素。</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葡萄糖测定（空腹）</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从血糖水平了解是否有低血糖、糖尿病，了解血糖控制情况等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主要辅助诊断糖尿病和了解糖尿病的治疗效果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甲功三项</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甲状腺主要的功能是调节新陈代谢、促进生长发育、调节组织的耗氧量、促进能量代谢，增加产热和提高基础代谢。</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甲胎蛋白（</w:t>
                        </w:r>
                        <w:r>
                          <w:rPr>
                            <w:rFonts w:ascii="仿宋_GB2312" w:hAnsi="仿宋_GB2312" w:cs="仿宋_GB2312" w:eastAsia="仿宋_GB2312"/>
                            <w:sz w:val="22"/>
                            <w:color w:val="000000"/>
                          </w:rPr>
                          <w:t>AFP）</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检测诊断肝癌和生殖细胞肿瘤的重要标志物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癌胚抗原（</w:t>
                        </w:r>
                        <w:r>
                          <w:rPr>
                            <w:rFonts w:ascii="仿宋_GB2312" w:hAnsi="仿宋_GB2312" w:cs="仿宋_GB2312" w:eastAsia="仿宋_GB2312"/>
                            <w:sz w:val="22"/>
                            <w:color w:val="000000"/>
                          </w:rPr>
                          <w:t>CEA）</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检测肠癌和肺癌的首选标志物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总前列腺特异性抗原测定</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主要检测中老年男性常规前列腺肿瘤检测指标</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尿液检查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尿常规</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可以观察用药前和用药过程中尿液的变化，直接、迅速的反映泌尿系统代谢等情况。</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心电图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12导联同步自动分析心电图</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心脏节律是否整齐；心脏供血情况，是否出现心肌缺血、心肌梗塞、心肌肥厚、肺动脉高压的情况。</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超声检查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彩色多普勒超声常规检查（肝胆胰脾）</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筛查肝脏、胆囊、胰腺、脾脏的外部形态是否正常和是否有肿瘤、囊肿或结石的产生。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浅表器官彩色超声检查</w:t>
                        </w:r>
                        <w:r>
                          <w:br/>
                        </w:r>
                        <w:r>
                          <w:rPr>
                            <w:rFonts w:ascii="仿宋_GB2312" w:hAnsi="仿宋_GB2312" w:cs="仿宋_GB2312" w:eastAsia="仿宋_GB2312"/>
                            <w:sz w:val="22"/>
                            <w:color w:val="000000"/>
                          </w:rPr>
                          <w:t>（甲状腺及颈部淋巴结）</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筛查甲状腺结节、颈部淋巴洁的大小、形态及对结节性质的判断，是否有肿瘤及囊肿的产生。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彩色多普勒超声常规检查（妇科）</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筛查子宫、卵巢、盆腔及宫颈部位是否存在异常病灶、有没有器质性病灶的产生。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浅表器官彩色超声检查</w:t>
                        </w:r>
                        <w:r>
                          <w:br/>
                        </w:r>
                        <w:r>
                          <w:rPr>
                            <w:rFonts w:ascii="仿宋_GB2312" w:hAnsi="仿宋_GB2312" w:cs="仿宋_GB2312" w:eastAsia="仿宋_GB2312"/>
                            <w:sz w:val="22"/>
                            <w:color w:val="000000"/>
                          </w:rPr>
                          <w:t>(乳腺及双侧腋窝淋巴结）</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筛查乳腺及双侧腋窝的腺体内结节的大小，形态，有无包膜，内部回声，结节后回声，结节内的血流分布情况</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彩色多普勒超声常规检查</w:t>
                        </w:r>
                        <w:r>
                          <w:br/>
                        </w:r>
                        <w:r>
                          <w:rPr>
                            <w:rFonts w:ascii="仿宋_GB2312" w:hAnsi="仿宋_GB2312" w:cs="仿宋_GB2312" w:eastAsia="仿宋_GB2312"/>
                            <w:sz w:val="22"/>
                            <w:color w:val="000000"/>
                          </w:rPr>
                          <w:t>（双肾输尿管膀胱前列腺）</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筛查双肾、输尿管、膀胱和前列腺的外部形态是否正常和是否有囊肿、积水结石的产生。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影像检查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胸部</w:t>
                        </w:r>
                        <w:r>
                          <w:rPr>
                            <w:rFonts w:ascii="仿宋_GB2312" w:hAnsi="仿宋_GB2312" w:cs="仿宋_GB2312" w:eastAsia="仿宋_GB2312"/>
                            <w:sz w:val="22"/>
                            <w:color w:val="000000"/>
                          </w:rPr>
                          <w:t>CT平扫</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诊断肺和气管的先天性疾病、肺部、支气管的各种炎症、各型肺结核、肺肿瘤等疾病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vMerge/>
                        <w:tcBorders>
                          <w:top w:val="none" w:color="000000" w:sz="4"/>
                          <w:left w:val="singl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头颅</w:t>
                        </w:r>
                        <w:r>
                          <w:rPr>
                            <w:rFonts w:ascii="仿宋_GB2312" w:hAnsi="仿宋_GB2312" w:cs="仿宋_GB2312" w:eastAsia="仿宋_GB2312"/>
                            <w:sz w:val="22"/>
                            <w:color w:val="000000"/>
                          </w:rPr>
                          <w:t>CT平扫</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可以明确患者头部是否存在器质性病变，比如脑出血、脑梗死等，并且可以判断病变的范围以及严重程度，从而判断患者是否存在脑出血的情况，也可以判断患者是否存在脑肿瘤、脑积水等情况。</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血管检查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动脉硬化检查</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主要检测的意义在于查明动脉硬化的发病几率越早发现动脉硬化的病情越早治疗，越容易控制病情。可作为诊断和预测疗效血流改变的重要手段。</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幽门螺杆菌检查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碳</w:t>
                        </w:r>
                        <w:r>
                          <w:rPr>
                            <w:rFonts w:ascii="仿宋_GB2312" w:hAnsi="仿宋_GB2312" w:cs="仿宋_GB2312" w:eastAsia="仿宋_GB2312"/>
                            <w:sz w:val="22"/>
                            <w:color w:val="000000"/>
                          </w:rPr>
                          <w:t>14呼气试验</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用于检测人体是否感染幽门螺旋杆菌，筛查慢性胃炎、消化道溃疡及消化不良等消化道疾病。但不建议备孕者及孕妇检查该项目。</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bl>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组织实施、应急措施等要求</w:t>
                  </w:r>
                </w:p>
                <w:p>
                  <w:pPr>
                    <w:pStyle w:val="null3"/>
                    <w:ind w:firstLine="480"/>
                    <w:jc w:val="both"/>
                  </w:pPr>
                  <w:r>
                    <w:rPr>
                      <w:rFonts w:ascii="仿宋_GB2312" w:hAnsi="仿宋_GB2312" w:cs="仿宋_GB2312" w:eastAsia="仿宋_GB2312"/>
                      <w:sz w:val="24"/>
                    </w:rPr>
                    <w:t>1.体检具体时间，具体人次，跟采购人协商决定每批次安排时间，根据采购人要求的时间安排执行项目检查；未按时参加人员可与体检单位协商决定，适当延迟。</w:t>
                  </w:r>
                </w:p>
                <w:p>
                  <w:pPr>
                    <w:pStyle w:val="null3"/>
                    <w:ind w:firstLine="480"/>
                    <w:jc w:val="both"/>
                  </w:pPr>
                  <w:r>
                    <w:rPr>
                      <w:rFonts w:ascii="仿宋_GB2312" w:hAnsi="仿宋_GB2312" w:cs="仿宋_GB2312" w:eastAsia="仿宋_GB2312"/>
                      <w:sz w:val="24"/>
                    </w:rPr>
                    <w:t>2.设有专人值班，耐心细致地做好宣传解释工作。体检结果及建议详实、可靠、具有指导性和现实操作性。</w:t>
                  </w:r>
                </w:p>
                <w:p>
                  <w:pPr>
                    <w:pStyle w:val="null3"/>
                    <w:ind w:firstLine="480"/>
                    <w:jc w:val="both"/>
                  </w:pPr>
                  <w:r>
                    <w:rPr>
                      <w:rFonts w:ascii="仿宋_GB2312" w:hAnsi="仿宋_GB2312" w:cs="仿宋_GB2312" w:eastAsia="仿宋_GB2312"/>
                      <w:sz w:val="24"/>
                    </w:rPr>
                    <w:t>3.体检过程中如遇设备故障应启动应急预案。参检人员参加体检时，以严肃认真、及时准确、高度负责的态度和行为，配备导检人员，为受检员工提供体检上的便利，提供优质高效的健康管理服务。</w:t>
                  </w:r>
                </w:p>
                <w:p>
                  <w:pPr>
                    <w:pStyle w:val="null3"/>
                    <w:ind w:firstLine="480"/>
                    <w:jc w:val="both"/>
                  </w:pPr>
                  <w:r>
                    <w:rPr>
                      <w:rFonts w:ascii="仿宋_GB2312" w:hAnsi="仿宋_GB2312" w:cs="仿宋_GB2312" w:eastAsia="仿宋_GB2312"/>
                      <w:sz w:val="24"/>
                    </w:rPr>
                    <w:t>4.在体检过程中如出现体检纠纷，双方需友好协商解决。经协商未能达成一致时双方均可经医疗鉴定确定责任，鉴定结果对双方均有约束力。</w:t>
                  </w:r>
                </w:p>
                <w:p>
                  <w:pPr>
                    <w:pStyle w:val="null3"/>
                    <w:ind w:firstLine="480"/>
                    <w:jc w:val="both"/>
                  </w:pPr>
                  <w:r>
                    <w:rPr>
                      <w:rFonts w:ascii="仿宋_GB2312" w:hAnsi="仿宋_GB2312" w:cs="仿宋_GB2312" w:eastAsia="仿宋_GB2312"/>
                      <w:sz w:val="24"/>
                    </w:rPr>
                    <w:t>5.确保后续服务。对体检结果有异常者提供专家预约、就诊、住院绿色通道；对体检发现的危急重症患者提供急救及转诊绿色通道。</w:t>
                  </w:r>
                </w:p>
                <w:p>
                  <w:pPr>
                    <w:pStyle w:val="null3"/>
                    <w:ind w:firstLine="480"/>
                    <w:jc w:val="both"/>
                  </w:pPr>
                  <w:r>
                    <w:rPr>
                      <w:rFonts w:ascii="仿宋_GB2312" w:hAnsi="仿宋_GB2312" w:cs="仿宋_GB2312" w:eastAsia="仿宋_GB2312"/>
                      <w:sz w:val="24"/>
                    </w:rPr>
                    <w:t>6.经采购人授权，供应商应按照采购人要求提供影像胶片、纸质版及电子体检报告，相关费用包含在响应报价中，采购人不再另行支付。</w:t>
                  </w:r>
                </w:p>
                <w:p>
                  <w:pPr>
                    <w:pStyle w:val="null3"/>
                    <w:ind w:firstLine="480"/>
                    <w:jc w:val="both"/>
                  </w:pPr>
                  <w:r>
                    <w:rPr>
                      <w:rFonts w:ascii="仿宋_GB2312" w:hAnsi="仿宋_GB2312" w:cs="仿宋_GB2312" w:eastAsia="仿宋_GB2312"/>
                      <w:sz w:val="24"/>
                      <w:b/>
                    </w:rPr>
                    <w:t>三、</w:t>
                  </w:r>
                  <w:r>
                    <w:rPr>
                      <w:rFonts w:ascii="仿宋_GB2312" w:hAnsi="仿宋_GB2312" w:cs="仿宋_GB2312" w:eastAsia="仿宋_GB2312"/>
                      <w:sz w:val="24"/>
                      <w:b/>
                    </w:rPr>
                    <w:t>报价要求及其他要求</w:t>
                  </w:r>
                </w:p>
                <w:p>
                  <w:pPr>
                    <w:pStyle w:val="null3"/>
                    <w:ind w:firstLine="480"/>
                    <w:jc w:val="both"/>
                  </w:pPr>
                  <w:r>
                    <w:rPr>
                      <w:rFonts w:ascii="仿宋_GB2312" w:hAnsi="仿宋_GB2312" w:cs="仿宋_GB2312" w:eastAsia="仿宋_GB2312"/>
                      <w:sz w:val="24"/>
                    </w:rPr>
                    <w:t>1.体检单价最高响应限价要求：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男性体检单价上限金额为</w:t>
                  </w:r>
                  <w:r>
                    <w:rPr>
                      <w:rFonts w:ascii="仿宋_GB2312" w:hAnsi="仿宋_GB2312" w:cs="仿宋_GB2312" w:eastAsia="仿宋_GB2312"/>
                      <w:sz w:val="24"/>
                    </w:rPr>
                    <w:t>1000元/人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女性体检单价上限金额为</w:t>
                  </w:r>
                  <w:r>
                    <w:rPr>
                      <w:rFonts w:ascii="仿宋_GB2312" w:hAnsi="仿宋_GB2312" w:cs="仿宋_GB2312" w:eastAsia="仿宋_GB2312"/>
                      <w:sz w:val="24"/>
                    </w:rPr>
                    <w:t>1200元/人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应保证所有体检结果真实性，如果发现体检结果有异议时，需派人陪同被体检者到指定的任意医院复查，如结果一致，费用由被体检方负责；结果不一致，由体检方承担所有费用。如果发现体检报告有弄虚作假等情况，情况属实，体检方有权终止协议。体检结束后体检人员三个月内发现重大疾病，按照体检价格双倍赔付；整体体检满意度无法达到采购人要求，今后</w:t>
                  </w:r>
                  <w:r>
                    <w:rPr>
                      <w:rFonts w:ascii="仿宋_GB2312" w:hAnsi="仿宋_GB2312" w:cs="仿宋_GB2312" w:eastAsia="仿宋_GB2312"/>
                      <w:sz w:val="24"/>
                    </w:rPr>
                    <w:t>3年内将不予合作。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合同执行不可抗力情况下的免责约定，双方约定不可抗力情况包括：疫情影响、五级以上地震、大风、大雨、大雪。如果因不可抗力影响合同正常履行，协商顺延工作时限。</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对本项目所配备人员数量合理、资质符合要求、经验丰富。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供应商所填报的单价不得超过体检单价的上限价（男性体检单价上限金额为1000元/人；女性体检单价上限金额为1200元/人），否则按废标处理。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具体根据采购人安排时间确定。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以供应商提供的服务地点为准。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服务完成后采购人向成交供应商一次性付款，采购人最终付款金额根据单价及实际体检人数进行据实结算。采购人向成交供应商付款前，成交供应商应向采购人开具符合采购人要求的发票，若因成交供应商未开具或逾期开具合法有效的发票，采购人有权顺延付款期限且不承担逾期付款责任，达到付款条件起30日内，支付合同结算金额的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1.按《中华人民共和国民法典》中的相关条款和本合同的约定执行。未按合同或磋商文件要求提供服务质量不能满足采购人技术要求，采购人有权终止合同，甚至对供应商违约行为进行追究。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1、在中华人民共和国境内注册，依法取得并有效存续的营业执照（含电子营业执照）\事业单位法人证书\民办非企业单位登记证书\非企业专业服务机构执业许可证等。 2、财务状况报告（任选其一）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 3、社会保障资金缴纳证明：提交响应文件截止时间前六个月内至少一个月的社会保障资金缴存单据或社保机构开具的社会保险参保缴费情况证明，单据或证明上应有社保机构或代收机构的公章或业务专用章。（依法不需要缴纳社会保障资金的供应商，应提供相应证明文件，证明其依法不需要缴纳社会保障资金） 4、税收缴纳证明：提交响应文件截止时间前六个月内至少一个月的纳税证明或完税证明（增值税、企业所得税至少提供一种），纳税证明或完税证明上应有代收机构或税务机关的公章或业务专用章。（依法免税的供应商，应提供相应证明文件，证明其依法免税）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特定资格条件要求1</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和本单位证明（开标前六个月任意一月的个人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特定资格条件要求2</w:t>
            </w:r>
          </w:p>
        </w:tc>
        <w:tc>
          <w:tcPr>
            <w:tcW w:type="dxa" w:w="3322"/>
          </w:tcPr>
          <w:p>
            <w:pPr>
              <w:pStyle w:val="null3"/>
            </w:pPr>
            <w:r>
              <w:rPr>
                <w:rFonts w:ascii="仿宋_GB2312" w:hAnsi="仿宋_GB2312" w:cs="仿宋_GB2312" w:eastAsia="仿宋_GB2312"/>
              </w:rPr>
              <w:t>供应商需提供合法有效的《医疗机构执业许可证》、《放射诊疗许可证》。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特定资格条件要求3</w:t>
            </w:r>
          </w:p>
        </w:tc>
        <w:tc>
          <w:tcPr>
            <w:tcW w:type="dxa" w:w="3322"/>
          </w:tcPr>
          <w:p>
            <w:pPr>
              <w:pStyle w:val="null3"/>
            </w:pPr>
            <w:r>
              <w:rPr>
                <w:rFonts w:ascii="仿宋_GB2312" w:hAnsi="仿宋_GB2312" w:cs="仿宋_GB2312" w:eastAsia="仿宋_GB2312"/>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商务要求偏离表.docx 中小企业声明函 报价表 采购需求偏离表.docx 供应商承诺书.docx 资格证明文件.docx 响应文件封面 残疾人福利性单位声明函 分项报价表（附表）.docx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分项报价表（附表）.docx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磋商响应文件加盖供应商的签字或盖章。</w:t>
            </w:r>
          </w:p>
        </w:tc>
        <w:tc>
          <w:tcPr>
            <w:tcW w:type="dxa" w:w="1661"/>
          </w:tcPr>
          <w:p>
            <w:pPr>
              <w:pStyle w:val="null3"/>
            </w:pPr>
            <w:r>
              <w:rPr>
                <w:rFonts w:ascii="仿宋_GB2312" w:hAnsi="仿宋_GB2312" w:cs="仿宋_GB2312" w:eastAsia="仿宋_GB2312"/>
              </w:rPr>
              <w:t>商务要求偏离表.docx 中小企业声明函 报价表 采购需求偏离表.docx 供应商承诺书.docx 资格证明文件.docx 响应文件封面 残疾人福利性单位声明函 分项报价表（附表）.docx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分项报价表（附表）.docx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分项报价表（附表）.docx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磋商报价与市场价偏离较大，低于成本，形成不正当竞争</w:t>
            </w:r>
          </w:p>
        </w:tc>
        <w:tc>
          <w:tcPr>
            <w:tcW w:type="dxa" w:w="3322"/>
          </w:tcPr>
          <w:p>
            <w:pPr>
              <w:pStyle w:val="null3"/>
            </w:pPr>
            <w:r>
              <w:rPr>
                <w:rFonts w:ascii="仿宋_GB2312" w:hAnsi="仿宋_GB2312" w:cs="仿宋_GB2312" w:eastAsia="仿宋_GB2312"/>
              </w:rPr>
              <w:t xml:space="preserve"> 响应报价未与市场价偏离较大，低于成本，形成不正当竞争。</w:t>
            </w:r>
          </w:p>
        </w:tc>
        <w:tc>
          <w:tcPr>
            <w:tcW w:type="dxa" w:w="1661"/>
          </w:tcPr>
          <w:p>
            <w:pPr>
              <w:pStyle w:val="null3"/>
            </w:pPr>
            <w:r>
              <w:rPr>
                <w:rFonts w:ascii="仿宋_GB2312" w:hAnsi="仿宋_GB2312" w:cs="仿宋_GB2312" w:eastAsia="仿宋_GB2312"/>
              </w:rPr>
              <w:t>分项报价表（附表）.docx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响应文件中技术、服务内容达不到采购要求，出现重大负偏差，降低了服务要求技术、服务内容达到采购要求，未出现重大负偏差，未降低磋商文件要求</w:t>
            </w:r>
          </w:p>
        </w:tc>
        <w:tc>
          <w:tcPr>
            <w:tcW w:type="dxa" w:w="3322"/>
          </w:tcPr>
          <w:p>
            <w:pPr>
              <w:pStyle w:val="null3"/>
            </w:pPr>
            <w:r>
              <w:rPr>
                <w:rFonts w:ascii="仿宋_GB2312" w:hAnsi="仿宋_GB2312" w:cs="仿宋_GB2312" w:eastAsia="仿宋_GB2312"/>
              </w:rPr>
              <w:t>技术、服务内容达到采购要求，未出现重大负偏差，未降低磋商文件要求。</w:t>
            </w:r>
          </w:p>
        </w:tc>
        <w:tc>
          <w:tcPr>
            <w:tcW w:type="dxa" w:w="1661"/>
          </w:tcPr>
          <w:p>
            <w:pPr>
              <w:pStyle w:val="null3"/>
            </w:pPr>
            <w:r>
              <w:rPr>
                <w:rFonts w:ascii="仿宋_GB2312" w:hAnsi="仿宋_GB2312" w:cs="仿宋_GB2312" w:eastAsia="仿宋_GB2312"/>
              </w:rPr>
              <w:t>商务要求偏离表.docx 采购需求偏离表.docx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响应文件未附加采购人难以接受的条件。</w:t>
            </w:r>
          </w:p>
        </w:tc>
        <w:tc>
          <w:tcPr>
            <w:tcW w:type="dxa" w:w="1661"/>
          </w:tcPr>
          <w:p>
            <w:pPr>
              <w:pStyle w:val="null3"/>
            </w:pPr>
            <w:r>
              <w:rPr>
                <w:rFonts w:ascii="仿宋_GB2312" w:hAnsi="仿宋_GB2312" w:cs="仿宋_GB2312" w:eastAsia="仿宋_GB2312"/>
              </w:rPr>
              <w:t>商务要求偏离表.docx 中小企业声明函 报价表 采购需求偏离表.docx 供应商承诺书.docx 资格证明文件.docx 响应文件封面 残疾人福利性单位声明函 分项报价表（附表）.docx 服务方案 标的清单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供应商提供虚假证明，开具虚假资质，出现虚假应答或故意隐瞒行为</w:t>
            </w:r>
          </w:p>
        </w:tc>
        <w:tc>
          <w:tcPr>
            <w:tcW w:type="dxa" w:w="3322"/>
          </w:tcPr>
          <w:p>
            <w:pPr>
              <w:pStyle w:val="null3"/>
            </w:pPr>
            <w:r>
              <w:rPr>
                <w:rFonts w:ascii="仿宋_GB2312" w:hAnsi="仿宋_GB2312" w:cs="仿宋_GB2312" w:eastAsia="仿宋_GB2312"/>
              </w:rPr>
              <w:t>未提供虚假证明，开具虚假资质，出现虚假应答或故意隐瞒行为。</w:t>
            </w:r>
          </w:p>
        </w:tc>
        <w:tc>
          <w:tcPr>
            <w:tcW w:type="dxa" w:w="1661"/>
          </w:tcPr>
          <w:p>
            <w:pPr>
              <w:pStyle w:val="null3"/>
            </w:pPr>
            <w:r>
              <w:rPr>
                <w:rFonts w:ascii="仿宋_GB2312" w:hAnsi="仿宋_GB2312" w:cs="仿宋_GB2312" w:eastAsia="仿宋_GB2312"/>
              </w:rPr>
              <w:t>商务要求偏离表.docx 中小企业声明函 报价表 采购需求偏离表.docx 供应商承诺书.docx 资格证明文件.docx 响应文件封面 残疾人福利性单位声明函 分项报价表（附表）.docx 服务方案 标的清单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 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针对本项目提出适用于本项目的总体方案，总体方案包括：①本项目整体统筹方案②具体体检的内容服务方案③确保体检空间，遵循“医检分开、相对独立”方案。④体检人员档案管理与移交方案。 二、评审标准 1、完整性：方案必须全面，对评审内容中的各项要求有详细描述；2、可实施性：切合本项目实际情况，提出步骤清晰、合理的方案；3、针对性：方案能够紧扣项目实际情况，内容科学合理。 三、赋分标准（满分21分） ①本项目整体统筹方案：每完全满足一个评审标准得1分，满分3分； ②具体体检的内容方案:每完全满足一个评审标准得2分，满分6分； ③确保体检空间，遵循“医检分开、相对独立”方案:每完全满足一个评审标准得2分，满分6分； ④体检人员档案管理与移交方案:每完全满足一个评审标准得2分，满分6分；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提供专业的服务团队，人员岗位设置专业、合理、充足，提供体检医生组成情况简介(包含在职证明、执业资格证、职称等证明材料)，检查团队中级及以上专业技术职务任职资格的职业医师或技师配备充足。 ①服务团队配置齐全、合理、专业人员配备充足得12分； ②服务团队配置基本齐全、基本合理、专业人员配备基本充足得9分； ③服务团队配置一般、专业人员配备不足得6分； ④服务团队配置差、专业人员配备不足得3分。 未提供或不适用于本项目得0分。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保障项目质量，供应商需提供在本项目实施过程中所必需的检测仪器、试剂耗材等设备设施清单，并提供相关证明材料。清单完善、设备设施先进、证明材料齐全得6分。清单基本完善、设备设施较先进、证明材料较齐全得4分。 清单不完善、设备先进性一般，证明材料不足得2分。清单不完善、设备先进性差，证明材料不足得1分。未提供或不适用于本项目得0分。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针对本项目提供质量保证措施，内容包含①体检结果准确性的保证措施②各工作节点时效性的把控措施 二、评审标准 1、完整性：方案须全面，对评审内容中的各项要求有详细描述及说明 2、可实施性：切合本项目实际情况，实施步骤清晰、合理 3、针对性：方案能够紧扣项目实际情况，内容科学合理 三、赋分标准（满分6分） ①体检结果准确性的保证措施：每完全满足一项评审标准得1分，满分3分； ②各工作节点时效性的把控措施：每完全满足一项评审标准得1分，满分3分；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体检资料</w:t>
            </w:r>
          </w:p>
        </w:tc>
        <w:tc>
          <w:tcPr>
            <w:tcW w:type="dxa" w:w="2492"/>
          </w:tcPr>
          <w:p>
            <w:pPr>
              <w:pStyle w:val="null3"/>
            </w:pPr>
            <w:r>
              <w:rPr>
                <w:rFonts w:ascii="仿宋_GB2312" w:hAnsi="仿宋_GB2312" w:cs="仿宋_GB2312" w:eastAsia="仿宋_GB2312"/>
              </w:rPr>
              <w:t>全体人员体检完成后须向采购人提供以下资料：①体检结果分析、②健康风险评估报告、③治疗建议、④被检人员的体检结果详细资料及电子档案。上述体检资料完整，内容表述清晰，每项得2分，共8分。未提供或其他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专业意见及治疗方案</w:t>
            </w:r>
          </w:p>
        </w:tc>
        <w:tc>
          <w:tcPr>
            <w:tcW w:type="dxa" w:w="2492"/>
          </w:tcPr>
          <w:p>
            <w:pPr>
              <w:pStyle w:val="null3"/>
            </w:pPr>
            <w:r>
              <w:rPr>
                <w:rFonts w:ascii="仿宋_GB2312" w:hAnsi="仿宋_GB2312" w:cs="仿宋_GB2312" w:eastAsia="仿宋_GB2312"/>
              </w:rPr>
              <w:t>供应商可根据体检报告中出现的异常指标出具详细的专业意见及治疗方案，根据响应程度赋分。 ①专业意见及治疗方案具有针对性、可行性得6分； ②专业意见及治疗方案针对性、可行性一般得4分； ③专业意见及治疗方案针对性、可行性较差得2分；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供应商针对本项目提供应急方案，方案需包含①突发疾病预案、②人员集中排队等候时间长、③设备故障应急预案等 3个方面的内容进行评审。 以上各项方案内容全面详细、阐述条理清晰详尽、符合本项目采购需求，能有效保障本项目实施的得9分，每有一项方案缺失扣3分，每一项方案内容存在缺陷，按以下说明扣分。说明：缺陷是指①内容不合理、虽有内容但内容稀疏、不完善、且内容表述前后不一致，扣1分；②套用其他项目方案或与项目需求不匹配及其他不利于项目实施的等任意一种情形，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供应商须保证参检人员所有信息数据不得外泄，提供体检过程中个人隐私信息保密方案及体检结果保密措施。 ①个人信息保密方案及结果保密措施完善、科学合理、可行性强，实施过程及成果安全性高，得3分； ②个人信息保密方案及结果保密措施简单，实施过程及成果安全性不足，得1分； ③未提供或其他不得分。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体检后续服务</w:t>
            </w:r>
          </w:p>
        </w:tc>
        <w:tc>
          <w:tcPr>
            <w:tcW w:type="dxa" w:w="2492"/>
          </w:tcPr>
          <w:p>
            <w:pPr>
              <w:pStyle w:val="null3"/>
            </w:pPr>
            <w:r>
              <w:rPr>
                <w:rFonts w:ascii="仿宋_GB2312" w:hAnsi="仿宋_GB2312" w:cs="仿宋_GB2312" w:eastAsia="仿宋_GB2312"/>
              </w:rPr>
              <w:t>针对本项目提供详细的后续服务方案及相关承诺，内容应包括：①体检报告移交及时性；②体检报告的准确性（需保证后期可使用体检报告直好，接进行就医）；③配套服务（包括但不限于体检结果详细解读、健康讲座等）上述内容完整合理、表述清晰，得9分，每缺一项内容扣3分，每有一项内容不贴合本项目实际需求或有缺陷的扣1分，扣完为止。 未提供或内容与本项目无关不得分。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提供2022年1月1日至磋商截止日类似项目业绩，每提供一项得2.5分，最高得10分。业绩证明（以合同签订时间为准，供应商应在响应文件中提供业绩合同扫描件）。 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经初审合格的磋商响应文件，其磋商报价为有效磋商报价,满足磋商文件实质性要求且最终报价最低（男性体检单价报价+女性体检单价报价之和）的供应商的价格为磋商基准价，其价格分为满分10分。 磋商报价得分=（磋商基准价/最终磋商报价）×10。 注：磋商报价不完整的，不进入磋商基准价的计算，本项得0分。 重要说明：1.评审时以供应商所填报的“男性体检单价响应金额+女性体检单价响应金额”之和参与价格分的评审；2.本项目体检单价采购上限价要求为：（1）男性体检单价上限金额为1000元/人； （2）女性体检单价上限金额为1200元/人。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未预留份额专门面向中小企业采购的采购项目，对符合《政府采购促进中小企业发展管理办法》（财库〔2020〕46号）规定的小微企业报价给予10.00%的扣除，用扣除后的价格参加评审。承接本项目的供应商符合相应条件时，给予10.00%的价格扣除，即：评标价=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分项报价表（附表）.docx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