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版本号：SXBH2025-ZCCS-032F20250924001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管委会办公计算机和网络设备等维护服务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SXBH2025-ZCCS-032F</w:t>
      </w:r>
      <w:r>
        <w:br/>
      </w:r>
      <w:r>
        <w:br/>
      </w:r>
      <w:r>
        <w:br/>
      </w:r>
    </w:p>
    <w:p>
      <w:pPr>
        <w:pStyle w:val="null3"/>
        <w:jc w:val="center"/>
        <w:outlineLvl w:val="2"/>
      </w:pPr>
      <w:r>
        <w:rPr>
          <w:rFonts w:ascii="仿宋_GB2312" w:hAnsi="仿宋_GB2312" w:cs="仿宋_GB2312" w:eastAsia="仿宋_GB2312"/>
          <w:sz w:val="28"/>
          <w:b/>
        </w:rPr>
        <w:t>西安经济技术开发区宣传文旅局</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西安经济技术开发区宣传文旅局</w:t>
      </w:r>
      <w:r>
        <w:rPr>
          <w:rFonts w:ascii="仿宋_GB2312" w:hAnsi="仿宋_GB2312" w:cs="仿宋_GB2312" w:eastAsia="仿宋_GB2312"/>
        </w:rPr>
        <w:t>委托，拟对</w:t>
      </w:r>
      <w:r>
        <w:rPr>
          <w:rFonts w:ascii="仿宋_GB2312" w:hAnsi="仿宋_GB2312" w:cs="仿宋_GB2312" w:eastAsia="仿宋_GB2312"/>
        </w:rPr>
        <w:t>管委会办公计算机和网络设备等维护服务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SXBH2025-ZCCS-032F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管委会办公计算机和网络设备等维护服务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党工委管委会各内设机构、各直属事业单位、园区管理机构(不含经开区政务服务大厅及泾渭分中心)办公计算机和网络设备等维护服务。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采购包1（管委会办公计算机和网络设备等维护服务）：属于专门面向中小企业采购。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1、法定代表人授权书：法定代表人直接参加投标的，须提供法定代表人身份证明；法定代表人授权他人参加投标的，须提供法定代表人授权委托书；</w:t>
      </w:r>
    </w:p>
    <w:p>
      <w:pPr>
        <w:pStyle w:val="null3"/>
      </w:pPr>
      <w:r>
        <w:rPr>
          <w:rFonts w:ascii="仿宋_GB2312" w:hAnsi="仿宋_GB2312" w:cs="仿宋_GB2312" w:eastAsia="仿宋_GB2312"/>
        </w:rPr>
        <w:t>2、信用查询：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15902941427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18066519109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关于招标代理服务费收费有关问题的通知》（发改办价格〔2003〕857号）及《调整后的招标代理服务收费标准》(发改价格〔2011〕534号)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西安经济技术开发区宣传文旅局</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西安经济技术开发区宣传文旅局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按照国家和行业现行标准进行验收。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联系电话：18066519109</w:t>
      </w:r>
    </w:p>
    <w:p>
      <w:pPr>
        <w:pStyle w:val="null3"/>
      </w:pPr>
      <w:r>
        <w:rPr>
          <w:rFonts w:ascii="仿宋_GB2312" w:hAnsi="仿宋_GB2312" w:cs="仿宋_GB2312" w:eastAsia="仿宋_GB2312"/>
        </w:rPr>
        <w:t>地址：西安市高新区唐延路35号旺座现代城C座2604室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党工委管委会各内设机构、各直属事业单位、园区管理机构(不含经开区政务服务大厅及泾渭分中心)办公计算机和网络设备等维护服务。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管委会办公计算机和网络设备等维护服务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标的名称：管委会办公计算机和网络设备等维护服务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一、技术服务范围</w:t>
            </w:r>
          </w:p>
          <w:p>
            <w:pPr>
              <w:pStyle w:val="null3"/>
              <w:ind w:firstLine="480"/>
              <w:jc w:val="both"/>
            </w:pPr>
            <w:r>
              <w:rPr>
                <w:rFonts w:ascii="仿宋_GB2312" w:hAnsi="仿宋_GB2312" w:cs="仿宋_GB2312" w:eastAsia="仿宋_GB2312"/>
                <w:sz w:val="16"/>
              </w:rPr>
              <w:t>1</w:t>
            </w:r>
            <w:r>
              <w:rPr>
                <w:rFonts w:ascii="仿宋_GB2312" w:hAnsi="仿宋_GB2312" w:cs="仿宋_GB2312" w:eastAsia="仿宋_GB2312"/>
                <w:sz w:val="16"/>
              </w:rPr>
              <w:t>、内设机构：包括党政办公室、组织人事部在内的19个党工委管委会内设机构；</w:t>
            </w:r>
          </w:p>
          <w:p>
            <w:pPr>
              <w:pStyle w:val="null3"/>
              <w:ind w:firstLine="480"/>
              <w:jc w:val="both"/>
            </w:pPr>
            <w:r>
              <w:rPr>
                <w:rFonts w:ascii="仿宋_GB2312" w:hAnsi="仿宋_GB2312" w:cs="仿宋_GB2312" w:eastAsia="仿宋_GB2312"/>
                <w:sz w:val="16"/>
              </w:rPr>
              <w:t>2</w:t>
            </w:r>
            <w:r>
              <w:rPr>
                <w:rFonts w:ascii="仿宋_GB2312" w:hAnsi="仿宋_GB2312" w:cs="仿宋_GB2312" w:eastAsia="仿宋_GB2312"/>
                <w:sz w:val="16"/>
              </w:rPr>
              <w:t>、驻外园区管理机构：</w:t>
            </w:r>
          </w:p>
          <w:p>
            <w:pPr>
              <w:pStyle w:val="null3"/>
              <w:ind w:firstLine="480"/>
              <w:jc w:val="both"/>
            </w:pPr>
            <w:r>
              <w:rPr>
                <w:rFonts w:ascii="仿宋_GB2312" w:hAnsi="仿宋_GB2312" w:cs="仿宋_GB2312" w:eastAsia="仿宋_GB2312"/>
                <w:sz w:val="16"/>
              </w:rPr>
              <w:t>（1）泾渭新城发展建设管理中心（西安市高陵区西金路18号泾渭国际中心7-9楼）；</w:t>
            </w:r>
          </w:p>
          <w:p>
            <w:pPr>
              <w:pStyle w:val="null3"/>
              <w:ind w:firstLine="480"/>
              <w:jc w:val="both"/>
            </w:pPr>
            <w:r>
              <w:rPr>
                <w:rFonts w:ascii="仿宋_GB2312" w:hAnsi="仿宋_GB2312" w:cs="仿宋_GB2312" w:eastAsia="仿宋_GB2312"/>
                <w:sz w:val="16"/>
              </w:rPr>
              <w:t>（2）</w:t>
            </w:r>
            <w:r>
              <w:rPr>
                <w:rFonts w:ascii="仿宋_GB2312" w:hAnsi="仿宋_GB2312" w:cs="仿宋_GB2312" w:eastAsia="仿宋_GB2312"/>
                <w:sz w:val="16"/>
              </w:rPr>
              <w:t>渭北新城发展建设管理中心（西安市临潼区秦王一路中段渭北国际商务中心15层-16层）；</w:t>
            </w:r>
          </w:p>
          <w:p>
            <w:pPr>
              <w:pStyle w:val="null3"/>
              <w:ind w:firstLine="480"/>
              <w:jc w:val="both"/>
            </w:pPr>
            <w:r>
              <w:rPr>
                <w:rFonts w:ascii="仿宋_GB2312" w:hAnsi="仿宋_GB2312" w:cs="仿宋_GB2312" w:eastAsia="仿宋_GB2312"/>
                <w:sz w:val="16"/>
              </w:rPr>
              <w:t>（3）</w:t>
            </w:r>
            <w:r>
              <w:rPr>
                <w:rFonts w:ascii="仿宋_GB2312" w:hAnsi="仿宋_GB2312" w:cs="仿宋_GB2312" w:eastAsia="仿宋_GB2312"/>
                <w:sz w:val="16"/>
              </w:rPr>
              <w:t>西安关中综合保税区（经开区）发展中心。</w:t>
            </w:r>
          </w:p>
          <w:p>
            <w:pPr>
              <w:pStyle w:val="null3"/>
              <w:ind w:firstLine="480"/>
              <w:jc w:val="both"/>
            </w:pPr>
            <w:r>
              <w:rPr>
                <w:rFonts w:ascii="仿宋_GB2312" w:hAnsi="仿宋_GB2312" w:cs="仿宋_GB2312" w:eastAsia="仿宋_GB2312"/>
                <w:sz w:val="16"/>
              </w:rPr>
              <w:t>3</w:t>
            </w:r>
            <w:r>
              <w:rPr>
                <w:rFonts w:ascii="仿宋_GB2312" w:hAnsi="仿宋_GB2312" w:cs="仿宋_GB2312" w:eastAsia="仿宋_GB2312"/>
                <w:sz w:val="16"/>
              </w:rPr>
              <w:t>、管理服务机构：</w:t>
            </w:r>
          </w:p>
          <w:p>
            <w:pPr>
              <w:pStyle w:val="null3"/>
              <w:ind w:firstLine="480"/>
              <w:jc w:val="both"/>
            </w:pPr>
            <w:r>
              <w:rPr>
                <w:rFonts w:ascii="仿宋_GB2312" w:hAnsi="仿宋_GB2312" w:cs="仿宋_GB2312" w:eastAsia="仿宋_GB2312"/>
                <w:sz w:val="16"/>
              </w:rPr>
              <w:t>（1）西安铁路北客站广场管理中心（西安市经开区元朔大道辅路与元光路交叉口东200米）。</w:t>
            </w:r>
          </w:p>
          <w:p>
            <w:pPr>
              <w:pStyle w:val="null3"/>
              <w:ind w:firstLine="480"/>
              <w:jc w:val="both"/>
            </w:pPr>
            <w:r>
              <w:rPr>
                <w:rFonts w:ascii="仿宋_GB2312" w:hAnsi="仿宋_GB2312" w:cs="仿宋_GB2312" w:eastAsia="仿宋_GB2312"/>
                <w:sz w:val="16"/>
              </w:rPr>
              <w:t>（2）办公地点在凯瑞F座：机关事务服务中心、经济运行统计研究中心、教育管理发展中心、社会事务服务中心、社区与公共卫生管理服务中心、会计核算中心、土地储备中心、环境监测中心、建设工程质量安全监督站、招商服务中心。</w:t>
            </w:r>
          </w:p>
          <w:p>
            <w:pPr>
              <w:pStyle w:val="null3"/>
              <w:ind w:firstLine="480"/>
              <w:jc w:val="both"/>
            </w:pPr>
            <w:r>
              <w:rPr>
                <w:rFonts w:ascii="仿宋_GB2312" w:hAnsi="仿宋_GB2312" w:cs="仿宋_GB2312" w:eastAsia="仿宋_GB2312"/>
                <w:sz w:val="16"/>
              </w:rPr>
              <w:t>4</w:t>
            </w:r>
            <w:r>
              <w:rPr>
                <w:rFonts w:ascii="仿宋_GB2312" w:hAnsi="仿宋_GB2312" w:cs="仿宋_GB2312" w:eastAsia="仿宋_GB2312"/>
                <w:sz w:val="16"/>
              </w:rPr>
              <w:t>、凯瑞E座的劳动监察大队，劳动仲裁办公室，信访办等。</w:t>
            </w:r>
          </w:p>
          <w:p>
            <w:pPr>
              <w:pStyle w:val="null3"/>
              <w:ind w:firstLine="480"/>
              <w:jc w:val="both"/>
            </w:pPr>
            <w:r>
              <w:rPr>
                <w:rFonts w:ascii="仿宋_GB2312" w:hAnsi="仿宋_GB2312" w:cs="仿宋_GB2312" w:eastAsia="仿宋_GB2312"/>
                <w:sz w:val="16"/>
              </w:rPr>
              <w:t>5</w:t>
            </w:r>
            <w:r>
              <w:rPr>
                <w:rFonts w:ascii="仿宋_GB2312" w:hAnsi="仿宋_GB2312" w:cs="仿宋_GB2312" w:eastAsia="仿宋_GB2312"/>
                <w:sz w:val="16"/>
              </w:rPr>
              <w:t>、凯瑞A座10层质监站、物业管理中心、项目管理中心等和20层的环境监测中心和网格办。</w:t>
            </w:r>
          </w:p>
          <w:p>
            <w:pPr>
              <w:pStyle w:val="null3"/>
              <w:jc w:val="both"/>
            </w:pPr>
            <w:r>
              <w:rPr>
                <w:rFonts w:ascii="仿宋_GB2312" w:hAnsi="仿宋_GB2312" w:cs="仿宋_GB2312" w:eastAsia="仿宋_GB2312"/>
                <w:sz w:val="16"/>
              </w:rPr>
              <w:t>二、技术服务内容</w:t>
            </w:r>
          </w:p>
          <w:p>
            <w:pPr>
              <w:pStyle w:val="null3"/>
              <w:ind w:firstLine="480"/>
              <w:jc w:val="both"/>
            </w:pPr>
            <w:r>
              <w:rPr>
                <w:rFonts w:ascii="仿宋_GB2312" w:hAnsi="仿宋_GB2312" w:cs="仿宋_GB2312" w:eastAsia="仿宋_GB2312"/>
                <w:sz w:val="16"/>
              </w:rPr>
              <w:t>1</w:t>
            </w:r>
            <w:r>
              <w:rPr>
                <w:rFonts w:ascii="仿宋_GB2312" w:hAnsi="仿宋_GB2312" w:cs="仿宋_GB2312" w:eastAsia="仿宋_GB2312"/>
                <w:sz w:val="16"/>
              </w:rPr>
              <w:t>、计算机和其他办公设备日常维护维修服务</w:t>
            </w:r>
          </w:p>
          <w:p>
            <w:pPr>
              <w:pStyle w:val="null3"/>
              <w:ind w:firstLine="480"/>
              <w:jc w:val="both"/>
            </w:pPr>
            <w:r>
              <w:rPr>
                <w:rFonts w:ascii="仿宋_GB2312" w:hAnsi="仿宋_GB2312" w:cs="仿宋_GB2312" w:eastAsia="仿宋_GB2312"/>
                <w:sz w:val="16"/>
              </w:rPr>
              <w:t>本项目维护范围内的各机构和各中心约1650余台计算机（台式电脑和笔记本电脑），打印机、复印机，一体打印机、网络打印机共约230台。主要的维护内容包括计算机操作系统的安装，更新升级，恢复，办公软件和办公用应用程序的安装、电脑病毒的查杀与预防；台式电脑和笔记本电脑处理器、主板、显卡、内存、硬盘（含固态硬盘）、电源、机箱、显示器，笔记本电脑键盘、屏幕等设备的硬件故障维修；计算机硬盘简单数据恢复。打印机/一体机驱/网络打印机动程序的安装修复、硬件故障维修（不进纸，卡纸，定影膜更换、电源板，主板）等、复印机网络打印功能配置、复印机硬件故障维修（不进纸、卡纸、更换硒鼓、转印组件、充电组件、载体、废粉仓、刮板，进出纸装置）。</w:t>
            </w:r>
          </w:p>
          <w:p>
            <w:pPr>
              <w:pStyle w:val="null3"/>
              <w:ind w:firstLine="480"/>
              <w:jc w:val="both"/>
            </w:pPr>
            <w:r>
              <w:rPr>
                <w:rFonts w:ascii="仿宋_GB2312" w:hAnsi="仿宋_GB2312" w:cs="仿宋_GB2312" w:eastAsia="仿宋_GB2312"/>
                <w:sz w:val="16"/>
              </w:rPr>
              <w:t>2</w:t>
            </w:r>
            <w:r>
              <w:rPr>
                <w:rFonts w:ascii="仿宋_GB2312" w:hAnsi="仿宋_GB2312" w:cs="仿宋_GB2312" w:eastAsia="仿宋_GB2312"/>
                <w:sz w:val="16"/>
              </w:rPr>
              <w:t>、网络设备日常维护维修</w:t>
            </w:r>
          </w:p>
          <w:p>
            <w:pPr>
              <w:pStyle w:val="null3"/>
              <w:ind w:firstLine="480"/>
              <w:jc w:val="both"/>
            </w:pPr>
            <w:r>
              <w:rPr>
                <w:rFonts w:ascii="仿宋_GB2312" w:hAnsi="仿宋_GB2312" w:cs="仿宋_GB2312" w:eastAsia="仿宋_GB2312"/>
                <w:sz w:val="16"/>
              </w:rPr>
              <w:t>网络设备日常维护维修范围为凯瑞F座5层-20层除大楼安防系统外的电子政务内外网，无线网络以及各部门内网专网设备，其中华为S7706核心交换机4台、华为接入交换机95台，华为无线控制器1台，华为吸顶式双频无线AP共180台，2U机架服务器4台，财政局U8服务器2台，固定资产管理服务器1台，经开智慧国资专网设备4台，深信服防火墙3台，深信服上网行为管理1台，对这些设备的定期巡检和日常维护与硬件故障判断报修，并做好配置文件、日志的备份工作，监控整个区域主干链路（包括光、电链路）的连通性，带宽利用率、延迟和抖动等指标，及时把握链路的调整、优化等动向，保证网络的畅通无阻。利用配套的防火墙、上网行为管理、网管系统，根据采购人要求与网络的实际情况，完成对有线网络和无线网络的配置调整，并实施配置优化。</w:t>
            </w:r>
          </w:p>
          <w:p>
            <w:pPr>
              <w:pStyle w:val="null3"/>
              <w:ind w:firstLine="480"/>
              <w:jc w:val="both"/>
            </w:pPr>
            <w:r>
              <w:rPr>
                <w:rFonts w:ascii="仿宋_GB2312" w:hAnsi="仿宋_GB2312" w:cs="仿宋_GB2312" w:eastAsia="仿宋_GB2312"/>
                <w:sz w:val="16"/>
              </w:rPr>
              <w:t>3</w:t>
            </w:r>
            <w:r>
              <w:rPr>
                <w:rFonts w:ascii="仿宋_GB2312" w:hAnsi="仿宋_GB2312" w:cs="仿宋_GB2312" w:eastAsia="仿宋_GB2312"/>
                <w:sz w:val="16"/>
              </w:rPr>
              <w:t>、信息机房基础设备维护管理</w:t>
            </w:r>
          </w:p>
          <w:p>
            <w:pPr>
              <w:pStyle w:val="null3"/>
              <w:ind w:firstLine="480"/>
              <w:jc w:val="both"/>
            </w:pPr>
            <w:r>
              <w:rPr>
                <w:rFonts w:ascii="仿宋_GB2312" w:hAnsi="仿宋_GB2312" w:cs="仿宋_GB2312" w:eastAsia="仿宋_GB2312"/>
                <w:sz w:val="16"/>
              </w:rPr>
              <w:t>对凯瑞F座4层北信息机房里的精密空调，UPS不间断电源系统 ，机房消防系统，门禁系统进行日常管理与检查，月度性巡检及预防性检查等，保障精密空调系统稳定运行，定期清洗或更换精密空调室内机的过滤网。定期检查UPS各项参数的测量及校正。每日检查UPS供电系统是否正常运行，定期进行深度放电测试，确保电池活性，保障UPS系统稳定为机房网络设备提供应急电源的时间。定期检查机房门禁系统，定期更换门禁密码。配合采购人实际管理需要制定信息机房安全管理制度，做好信息机房人员出入登记工作和设备出入登记工作。还应制定巡检计划定期对机房网络设备进行巡检，对各硬件设备的运行情况予以记录并形成巡检维护日志，巡检维护日志内容在服务期结束后统一胶装报送采购人。</w:t>
            </w:r>
          </w:p>
          <w:p>
            <w:pPr>
              <w:pStyle w:val="null3"/>
              <w:ind w:firstLine="480"/>
              <w:jc w:val="both"/>
            </w:pPr>
            <w:r>
              <w:rPr>
                <w:rFonts w:ascii="仿宋_GB2312" w:hAnsi="仿宋_GB2312" w:cs="仿宋_GB2312" w:eastAsia="仿宋_GB2312"/>
                <w:sz w:val="16"/>
              </w:rPr>
              <w:t>4</w:t>
            </w:r>
            <w:r>
              <w:rPr>
                <w:rFonts w:ascii="仿宋_GB2312" w:hAnsi="仿宋_GB2312" w:cs="仿宋_GB2312" w:eastAsia="仿宋_GB2312"/>
                <w:sz w:val="16"/>
              </w:rPr>
              <w:t>、其他技术服务</w:t>
            </w:r>
          </w:p>
          <w:p>
            <w:pPr>
              <w:pStyle w:val="null3"/>
              <w:ind w:firstLine="480"/>
              <w:jc w:val="both"/>
            </w:pPr>
            <w:r>
              <w:rPr>
                <w:rFonts w:ascii="仿宋_GB2312" w:hAnsi="仿宋_GB2312" w:cs="仿宋_GB2312" w:eastAsia="仿宋_GB2312"/>
                <w:sz w:val="16"/>
              </w:rPr>
              <w:t>为经开区管委会办公在凯瑞F座的部门机构在重大会议期间或非工作时间的紧急技术服务。全力配合采购人接入的各类专网专线系统的网络调试，专网专线计算机运行专网应用系统的环境配置与调试。配合上级单位完成部分内设机构的视频会议设备或其他专用设备的的初次安装，并完成以上设备后期管理维护及更换安装位置等工作，涉及设备故障的协助使用部门联系上级单位的技术人员进行维修或更换。</w:t>
            </w:r>
          </w:p>
          <w:p>
            <w:pPr>
              <w:pStyle w:val="null3"/>
              <w:ind w:firstLine="480"/>
              <w:jc w:val="both"/>
            </w:pPr>
            <w:r>
              <w:rPr>
                <w:rFonts w:ascii="仿宋_GB2312" w:hAnsi="仿宋_GB2312" w:cs="仿宋_GB2312" w:eastAsia="仿宋_GB2312"/>
                <w:sz w:val="16"/>
              </w:rPr>
              <w:t>5</w:t>
            </w:r>
            <w:r>
              <w:rPr>
                <w:rFonts w:ascii="仿宋_GB2312" w:hAnsi="仿宋_GB2312" w:cs="仿宋_GB2312" w:eastAsia="仿宋_GB2312"/>
                <w:sz w:val="16"/>
              </w:rPr>
              <w:t>、维护易消耗品</w:t>
            </w:r>
          </w:p>
          <w:p>
            <w:pPr>
              <w:pStyle w:val="null3"/>
              <w:ind w:firstLine="480"/>
              <w:jc w:val="both"/>
            </w:pPr>
            <w:r>
              <w:rPr>
                <w:rFonts w:ascii="仿宋_GB2312" w:hAnsi="仿宋_GB2312" w:cs="仿宋_GB2312" w:eastAsia="仿宋_GB2312"/>
                <w:sz w:val="16"/>
              </w:rPr>
              <w:t>为保证办公设备和网络设备正常运行所产生各类线材（电源线，VGA线，HDIM线，USB打印数据线,USB延长线，网络跳线，网络水晶头，扎带）等。各类设备或者线材上的标签维护与更新。</w:t>
            </w:r>
          </w:p>
          <w:p>
            <w:pPr>
              <w:pStyle w:val="null3"/>
              <w:jc w:val="both"/>
            </w:pPr>
            <w:r>
              <w:rPr>
                <w:rFonts w:ascii="仿宋_GB2312" w:hAnsi="仿宋_GB2312" w:cs="仿宋_GB2312" w:eastAsia="仿宋_GB2312"/>
                <w:sz w:val="16"/>
              </w:rPr>
              <w:t>三、技术服务要求</w:t>
            </w:r>
          </w:p>
          <w:p>
            <w:pPr>
              <w:pStyle w:val="null3"/>
              <w:ind w:firstLine="480"/>
              <w:jc w:val="both"/>
            </w:pPr>
            <w:r>
              <w:rPr>
                <w:rFonts w:ascii="仿宋_GB2312" w:hAnsi="仿宋_GB2312" w:cs="仿宋_GB2312" w:eastAsia="仿宋_GB2312"/>
                <w:sz w:val="16"/>
              </w:rPr>
              <w:t>1</w:t>
            </w:r>
            <w:r>
              <w:rPr>
                <w:rFonts w:ascii="仿宋_GB2312" w:hAnsi="仿宋_GB2312" w:cs="仿宋_GB2312" w:eastAsia="仿宋_GB2312"/>
                <w:sz w:val="16"/>
              </w:rPr>
              <w:t>、实行7*24小时不间断维护，周一至周五工作时间，工作人员驻场维护，非工作时间，提供1小时响应，24小时内有效处置，国家法定节假日期间每日上午9点至下午5点安排1名技术人员在凯瑞F座4层信息机房值守以应对突发的网络故障或其他紧急技术服务。</w:t>
            </w:r>
          </w:p>
          <w:p>
            <w:pPr>
              <w:pStyle w:val="null3"/>
              <w:ind w:firstLine="480"/>
              <w:jc w:val="both"/>
            </w:pPr>
            <w:r>
              <w:rPr>
                <w:rFonts w:ascii="仿宋_GB2312" w:hAnsi="仿宋_GB2312" w:cs="仿宋_GB2312" w:eastAsia="仿宋_GB2312"/>
                <w:sz w:val="16"/>
              </w:rPr>
              <w:t>2</w:t>
            </w:r>
            <w:r>
              <w:rPr>
                <w:rFonts w:ascii="仿宋_GB2312" w:hAnsi="仿宋_GB2312" w:cs="仿宋_GB2312" w:eastAsia="仿宋_GB2312"/>
                <w:sz w:val="16"/>
              </w:rPr>
              <w:t>、对维护范围内的软硬件进行日常巡检维护维修，对所涉及的设备资产信息进行统一的登记管理，配合党政办公室完成各部门报废的办公设备及参数与故障验证，并根据保密要求拆除硬盘统一保管。</w:t>
            </w:r>
          </w:p>
          <w:p>
            <w:pPr>
              <w:pStyle w:val="null3"/>
              <w:ind w:firstLine="480"/>
              <w:jc w:val="both"/>
            </w:pPr>
            <w:r>
              <w:rPr>
                <w:rFonts w:ascii="仿宋_GB2312" w:hAnsi="仿宋_GB2312" w:cs="仿宋_GB2312" w:eastAsia="仿宋_GB2312"/>
                <w:sz w:val="16"/>
              </w:rPr>
              <w:t>3</w:t>
            </w:r>
            <w:r>
              <w:rPr>
                <w:rFonts w:ascii="仿宋_GB2312" w:hAnsi="仿宋_GB2312" w:cs="仿宋_GB2312" w:eastAsia="仿宋_GB2312"/>
                <w:sz w:val="16"/>
              </w:rPr>
              <w:t>、技术服务团队人员要求：技术主管1名，本项目范围内的各类计算机，网络设备，无线网络设备，其他办公设备的日常维护维修服务需3名技术人员驻场服务，其中1名技术人员日常机动服务为泾渭新城发展建设管理中心，渭北新城发展建设管理中心，西安铁路北客站广场管理中心，西安关中综合保税区（经开区）发展中心提供现现场或远程技术服务。凯瑞F座4层北信息机房基础设备维护管理以及网络设备、网络安全设备、应用服务器的维护工作需1名技术人员驻场服务。</w:t>
            </w:r>
          </w:p>
          <w:p>
            <w:pPr>
              <w:pStyle w:val="null3"/>
              <w:ind w:firstLine="480"/>
              <w:jc w:val="both"/>
            </w:pPr>
            <w:r>
              <w:rPr>
                <w:rFonts w:ascii="仿宋_GB2312" w:hAnsi="仿宋_GB2312" w:cs="仿宋_GB2312" w:eastAsia="仿宋_GB2312"/>
                <w:sz w:val="16"/>
              </w:rPr>
              <w:t>4</w:t>
            </w:r>
            <w:r>
              <w:rPr>
                <w:rFonts w:ascii="仿宋_GB2312" w:hAnsi="仿宋_GB2312" w:cs="仿宋_GB2312" w:eastAsia="仿宋_GB2312"/>
                <w:sz w:val="16"/>
              </w:rPr>
              <w:t>、</w:t>
            </w:r>
            <w:r>
              <w:rPr>
                <w:rFonts w:ascii="仿宋_GB2312" w:hAnsi="仿宋_GB2312" w:cs="仿宋_GB2312" w:eastAsia="仿宋_GB2312"/>
                <w:sz w:val="16"/>
              </w:rPr>
              <w:t>对</w:t>
            </w:r>
            <w:r>
              <w:rPr>
                <w:rFonts w:ascii="仿宋_GB2312" w:hAnsi="仿宋_GB2312" w:cs="仿宋_GB2312" w:eastAsia="仿宋_GB2312"/>
                <w:sz w:val="16"/>
              </w:rPr>
              <w:t>办公设备的日常桌面维护维修服务和网络设备日常维护维修</w:t>
            </w:r>
            <w:r>
              <w:rPr>
                <w:rFonts w:ascii="仿宋_GB2312" w:hAnsi="仿宋_GB2312" w:cs="仿宋_GB2312" w:eastAsia="仿宋_GB2312"/>
                <w:sz w:val="16"/>
              </w:rPr>
              <w:t>过程中发现涉及机器内部零部件故障需要维修更换的，由设备使用部门提出配件维修更换申请，技术服务单位按照申请填写《办公设备配件维修更换采购确认单》（附件1），并由技术服务单位主管部门、财政金融局共同对维修更换的配件的类别、范围、数量、规格型号及价格等审核后（单个配件价格不得超过设备整机的50%，最高上限不得超过4000元）代为采购，由技术服务单位主管部门汇总后按季度进行报销，超过4000元单价的，根据实际情况由设备使用部门或技术服务单位主管部门另行请示，按照管委会有关程序进行维修或更换。</w:t>
            </w:r>
          </w:p>
          <w:p>
            <w:pPr>
              <w:pStyle w:val="null3"/>
              <w:ind w:firstLine="645"/>
              <w:jc w:val="both"/>
            </w:pPr>
            <w:r>
              <w:rPr>
                <w:rFonts w:ascii="仿宋_GB2312" w:hAnsi="仿宋_GB2312" w:cs="仿宋_GB2312" w:eastAsia="仿宋_GB2312"/>
                <w:sz w:val="16"/>
              </w:rPr>
              <w:t>5</w:t>
            </w:r>
            <w:r>
              <w:rPr>
                <w:rFonts w:ascii="仿宋_GB2312" w:hAnsi="仿宋_GB2312" w:cs="仿宋_GB2312" w:eastAsia="仿宋_GB2312"/>
                <w:sz w:val="16"/>
              </w:rPr>
              <w:t>、凯瑞F座、凯瑞E座、</w:t>
            </w:r>
            <w:r>
              <w:rPr>
                <w:rFonts w:ascii="仿宋_GB2312" w:hAnsi="仿宋_GB2312" w:cs="仿宋_GB2312" w:eastAsia="仿宋_GB2312"/>
                <w:sz w:val="16"/>
              </w:rPr>
              <w:t>泾渭新城发展建设管理中心、渭北新城发展建设管理中心</w:t>
            </w:r>
            <w:r>
              <w:rPr>
                <w:rFonts w:ascii="仿宋_GB2312" w:hAnsi="仿宋_GB2312" w:cs="仿宋_GB2312" w:eastAsia="仿宋_GB2312"/>
                <w:sz w:val="16"/>
              </w:rPr>
              <w:t>网络基础设施设备（资产属于国有公司）日常维护涉及硬件故障需要维修更换的，按照管委会与建设方国有公司签订的租赁合同，其中约定建设方国有公司保证网络设备和线路的正常使用，如出现基础线路和设备设施硬件故障的由建设方负责维修或更换。第三方公司负责日常的运行维护保养。</w:t>
            </w:r>
          </w:p>
          <w:p>
            <w:pPr>
              <w:pStyle w:val="null3"/>
              <w:ind w:firstLine="645"/>
              <w:jc w:val="both"/>
            </w:pPr>
            <w:r>
              <w:rPr>
                <w:rFonts w:ascii="仿宋_GB2312" w:hAnsi="仿宋_GB2312" w:cs="仿宋_GB2312" w:eastAsia="仿宋_GB2312"/>
                <w:sz w:val="16"/>
              </w:rPr>
              <w:t>附件1：设备配件维修更换采购确认单</w:t>
            </w:r>
          </w:p>
          <w:tbl>
            <w:tblPr>
              <w:tblBorders>
                <w:top w:val="none" w:color="000000" w:sz="4"/>
                <w:left w:val="none" w:color="000000" w:sz="4"/>
                <w:bottom w:val="none" w:color="000000" w:sz="4"/>
                <w:right w:val="none" w:color="000000" w:sz="4"/>
                <w:insideH w:val="none"/>
                <w:insideV w:val="none"/>
              </w:tblBorders>
            </w:tblPr>
            <w:tblGrid>
              <w:gridCol w:w="879"/>
              <w:gridCol w:w="1101"/>
              <w:gridCol w:w="794"/>
              <w:gridCol w:w="1051"/>
            </w:tblGrid>
            <w:tr>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设备所属部门</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使用人</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配件名称</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配件数量</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规格型号</w:t>
                  </w:r>
                </w:p>
              </w:tc>
              <w:tc>
                <w:tcPr>
                  <w:tcW w:type="dxa" w:w="294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维修更换原因</w:t>
                  </w:r>
                </w:p>
              </w:tc>
              <w:tc>
                <w:tcPr>
                  <w:tcW w:type="dxa" w:w="294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配件单价（元）</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配件价格合计（元）</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主管部门（审核意见）</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财政金融局（审核意见）</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使用人确认</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维修更换技术人员</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日期</w:t>
                  </w:r>
                </w:p>
              </w:tc>
              <w:tc>
                <w:tcPr>
                  <w:tcW w:type="dxa" w:w="294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备注</w:t>
                  </w:r>
                </w:p>
              </w:tc>
              <w:tc>
                <w:tcPr>
                  <w:tcW w:type="dxa" w:w="294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主管1名，本项目范围内的各类计算机，网络设备，无线网络设备，其他办公设备的日常维护维修服务需3名技术人员驻场服务，其中1名技术人员日常机动服务为泾渭新城发展建设管理中心，渭北新城发展建设管理中心，西安铁路北客站广场管理中心，西安关中综合保税区（经开区）发展中心提供现现场或远程技术服务。凯瑞F座4层北信息机房基础设备维护管理以及网络设备、网络安全设备、应用服务器的维护工作需1名技术人员驻场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按照国家和行业现行标准进行验收。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（1）供应商应是独立承担民事责任能力的法人、其他组织或自然人，法人、其他组织须提供合法有效的营业执照或事业单位法人证等证明资料，自然人须提供身份证明； （2）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 （3）供应商须提供近半年内任意一个月的依法纳税证明材料，依法免税及依法不需要缴纳的应提供相关文件证明； （4）供应商须提供近半年内任意一个月的社会保障资金的证明材料，由第三方代缴的须出具委托第三方代缴合同及社会保障资金的缴纳证明材料;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官网中列入失信被执行人、重大税收违法失信主体、政府采购严重违法失信行为记录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1、项目认知清晰、需求分析准确得（3,5]分，项目认知较好、需求分析较好得（1,3]分，项目认识模糊、需求分析平淡得（0,1]分，未提供的本项不得分。 2、服务方案清晰全面得（3,5]分，服务方案较为清晰全面得（1,3]分，服务方案普通得（0,1]分，未提供的本项不得分。 3、维护方案合理可行，能保证办公设备的日常最佳运行状态的得（3,5]分，维护方案较好，能基本保证办公设备的日常最佳运行状态的得（1,3]分，维护方案一般，内容粗略的得（0,1]分，未提供的本项不得分。 4、维护产品配品配件齐全，具有兼容性、实用性的得（3,5]分，维护产品配品配件较为齐全、具有较好的兼容性和实用性得（1,3]分，维护产品配品配件配备一般，性能一般且配品配件品种不齐全的得（0,1]分，未提供的本项不得分。 5、维保方案详细，切实可行的得（3,5]分，维保方案较好，可行性较好得（1,3]分，维保方案一般，可行性一般得（0,1]分，未提供的本项不得分。 6、环境保护及文明维护、维修方案全面合理，可行性强的得（3,5]分，环境保护及文明维护、维修方案全面较为合理、可行性较强得（1,3]分，环境保护及文明维护、维修方案及可行性一般的得（0,1]分，未提供的本项不得分。 7、紧急情况下的突发故障的解决办法，保证能够在承诺的时间内按质按量完成的得（3,5]分，解决较好得（1,3]分，解决办法一般得（0,1]分，未提供的本项不得分。 8、巡检方案中的巡检计划、问题汇总、性能监测、问题解决等完善可行的得（3,5]分，巡检方案中的巡检计划、问题汇总、性能监测、问题解决等可行性较好得（1,3]分，巡检方案中的巡检计划、问题汇总、性能监测、问题解决等可行性一般得（0,1]分，未提供的本项不得分。 9、培训方案及培训计划详细合理的得（3,5]分，培训方案及培训计划较为详细，但合理性较好得（1,3]分，培训方案及培训计划粗略，但合理性一般得（0,1]分，未提供的本项不得分。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1、保证网络及设备的正常运行，内容、重点完整计（3,5]分，内容、重点基本完善计(1,3]分 ；内容、重点空洞，针对性、可行性差计(0,1分] ；无响应说明的不计分。 2、服务过程中所提供的配品配件，符合国内相关标准，按其响应程度内容、重点完整计（3,5]分，响应程度内容、重点基本完善计(1,3]分 ；响应程度内容、重点空洞，针对性、可行性差计(0,1分] ；无响应说明的不计分。 3、供应商有安全有效的故障处理措施。按其响应程度内容、重点完整计（3,5]分，响应程度内容、重点基本完善计(1,3]分 ；响应程度内容、重点空洞，针对性、可行性差计(0,1分] ；无响应说明的不计分。 4、根据供应商售后服务保障体系、维护响应计划进行评审，包括持续服务保障情况、服务内容、响应时间、响应方式等，按其响应程度内容、重点完整计（3,5]分，响应程度内容、重点基本完善计(1,3]分 ；响应程度内容、重点空洞，针对性、可行性差计(0,1分] ；无响应说明的不计分。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1、拟投入项目经理应具备专业的技术能力，提供相关证明文件，按其响应程度内容、重点完整计（3,5]分，响应程度内容、重点基本完善计(1,3]分 ；响应程度内容、重点空洞，针对性、可行性差计(0,1分] ；无响应说明的不计分。 2、针对本项目配置的人员齐全、组成合理、职责分工明确得（3,5]分，人员配置较好、职责分工清晰得（1,3]分，人员配置一般、职责分工模糊的得（0,1]分，未提供的本项不得分。 3、拟投入本项目团队成员满足采购文件配置要求，需提供劳动合同（不提供不得分），每少一人扣1分，扣完为止。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供应商提供近三年类似项目业绩，业绩以合同或中标(成交)通知书为依据，每提供一个计2分，满分10分。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满足磋商文件要求且最后报价最低的供应商的价格为磋商基准价。各供应商的价格分统一按照下列公式计算：磋商报价得分=(磋商基准价/最后磋商报价)x价格权值。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