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版本号：SXZHZC2025-CS27920250926001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经开区法律服务项目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SXZHZC2025-CS279</w:t>
      </w:r>
      <w:r>
        <w:br/>
      </w:r>
      <w:r>
        <w:br/>
      </w:r>
      <w:r>
        <w:br/>
      </w:r>
    </w:p>
    <w:p>
      <w:pPr>
        <w:pStyle w:val="null3"/>
        <w:jc w:val="center"/>
        <w:outlineLvl w:val="2"/>
      </w:pPr>
      <w:r>
        <w:rPr>
          <w:rFonts w:ascii="仿宋_GB2312" w:hAnsi="仿宋_GB2312" w:cs="仿宋_GB2312" w:eastAsia="仿宋_GB2312"/>
          <w:sz w:val="28"/>
          <w:b/>
        </w:rPr>
        <w:t>西安经济技术开发区党群工作部</w:t>
      </w:r>
    </w:p>
    <w:p>
      <w:pPr>
        <w:pStyle w:val="null3"/>
        <w:jc w:val="center"/>
        <w:outlineLvl w:val="2"/>
      </w:pPr>
      <w:r>
        <w:rPr>
          <w:rFonts w:ascii="仿宋_GB2312" w:hAnsi="仿宋_GB2312" w:cs="仿宋_GB2312" w:eastAsia="仿宋_GB2312"/>
          <w:sz w:val="28"/>
          <w:b/>
        </w:rPr>
        <w:t>陕西泽航项目管理有限公司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陕西泽航项目管理有限公司</w:t>
      </w:r>
      <w:r>
        <w:rPr>
          <w:rFonts w:ascii="仿宋_GB2312" w:hAnsi="仿宋_GB2312" w:cs="仿宋_GB2312" w:eastAsia="仿宋_GB2312"/>
        </w:rPr>
        <w:t>（以下简称“代理机构”）受</w:t>
      </w:r>
      <w:r>
        <w:rPr>
          <w:rFonts w:ascii="仿宋_GB2312" w:hAnsi="仿宋_GB2312" w:cs="仿宋_GB2312" w:eastAsia="仿宋_GB2312"/>
        </w:rPr>
        <w:t>西安经济技术开发区党群工作部</w:t>
      </w:r>
      <w:r>
        <w:rPr>
          <w:rFonts w:ascii="仿宋_GB2312" w:hAnsi="仿宋_GB2312" w:cs="仿宋_GB2312" w:eastAsia="仿宋_GB2312"/>
        </w:rPr>
        <w:t>委托，拟对</w:t>
      </w:r>
      <w:r>
        <w:rPr>
          <w:rFonts w:ascii="仿宋_GB2312" w:hAnsi="仿宋_GB2312" w:cs="仿宋_GB2312" w:eastAsia="仿宋_GB2312"/>
        </w:rPr>
        <w:t>经开区法律服务项目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SXZHZC2025-CS279</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经开区法律服务项目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经开区法律服务项目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3、执业许可证：供应商须具有律师事务所执业许可证。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3、执业许可证：供应商须具有律师事务所执业许可证。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法定代表人身份证明或法定代表人授权书：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p>
      <w:pPr>
        <w:pStyle w:val="null3"/>
      </w:pPr>
      <w:r>
        <w:rPr>
          <w:rFonts w:ascii="仿宋_GB2312" w:hAnsi="仿宋_GB2312" w:cs="仿宋_GB2312" w:eastAsia="仿宋_GB2312"/>
        </w:rPr>
        <w:t>2、信用记录：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pPr>
        <w:pStyle w:val="null3"/>
      </w:pPr>
      <w:r>
        <w:rPr>
          <w:rFonts w:ascii="仿宋_GB2312" w:hAnsi="仿宋_GB2312" w:cs="仿宋_GB2312" w:eastAsia="仿宋_GB2312"/>
        </w:rPr>
        <w:t>3、执业许可证：供应商须具有律师事务所执业许可证。</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西安经济技术开发区党群工作部</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西安市凤城十二路凯瑞F座</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710016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朱老师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029-86689831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陕西泽航项目管理有限公司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西安市未央区未央路80号盛龙广场A区1号楼1单元2601-619室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张婉莹</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029-86477988</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西安经济技术开发区财政金融局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康老师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029-86538460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p>
          <w:p>
            <w:pPr>
              <w:pStyle w:val="null3"/>
            </w:pPr>
            <w:r>
              <w:rPr>
                <w:rFonts w:ascii="仿宋_GB2312" w:hAnsi="仿宋_GB2312" w:cs="仿宋_GB2312" w:eastAsia="仿宋_GB2312"/>
              </w:rPr>
              <w:t>采购包2：300,000.00元</w:t>
            </w:r>
          </w:p>
          <w:p>
            <w:pPr>
              <w:pStyle w:val="null3"/>
            </w:pPr>
            <w:r>
              <w:rPr>
                <w:rFonts w:ascii="仿宋_GB2312" w:hAnsi="仿宋_GB2312" w:cs="仿宋_GB2312" w:eastAsia="仿宋_GB2312"/>
              </w:rPr>
              <w:t>采购包3：300,000.00元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采购包1：参照国家计委印发的《招标代理服务收费管理暂行办法》（计价格〔2002〕1980号）和国家发展和改革委员会办公厅印发的《关于招标代理服务收费有关问题的通知》（发改办价格〔2003〕857号）的有关规定执行；采购包2、采购包3：各定额收取人民币陆仟元整（¥6000.00元） 户名：陕西泽航项目管理有限公司 开户行：中国工商银行股份有限公司西安经济技术开发区支行 账号：3700000609200406578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西安经济技术开发区党群工作部</w:t>
      </w:r>
      <w:r>
        <w:rPr>
          <w:rFonts w:ascii="仿宋_GB2312" w:hAnsi="仿宋_GB2312" w:cs="仿宋_GB2312" w:eastAsia="仿宋_GB2312"/>
        </w:rPr>
        <w:t>和</w:t>
      </w:r>
      <w:r>
        <w:rPr>
          <w:rFonts w:ascii="仿宋_GB2312" w:hAnsi="仿宋_GB2312" w:cs="仿宋_GB2312" w:eastAsia="仿宋_GB2312"/>
        </w:rPr>
        <w:t>陕西泽航项目管理有限公司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西安经济技术开发区党群工作部</w:t>
      </w:r>
      <w:r>
        <w:rPr>
          <w:rFonts w:ascii="仿宋_GB2312" w:hAnsi="仿宋_GB2312" w:cs="仿宋_GB2312" w:eastAsia="仿宋_GB2312"/>
        </w:rPr>
        <w:t>负责解释。除上述磋商文件内容，其他内容由</w:t>
      </w:r>
      <w:r>
        <w:rPr>
          <w:rFonts w:ascii="仿宋_GB2312" w:hAnsi="仿宋_GB2312" w:cs="仿宋_GB2312" w:eastAsia="仿宋_GB2312"/>
        </w:rPr>
        <w:t>陕西泽航项目管理有限公司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西安经济技术开发区党群工作部</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陕西泽航项目管理有限公司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详见合同附件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详见合同附件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陕西泽航项目管理有限公司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联系人：张婉莹</w:t>
      </w:r>
    </w:p>
    <w:p>
      <w:pPr>
        <w:pStyle w:val="null3"/>
      </w:pPr>
      <w:r>
        <w:rPr>
          <w:rFonts w:ascii="仿宋_GB2312" w:hAnsi="仿宋_GB2312" w:cs="仿宋_GB2312" w:eastAsia="仿宋_GB2312"/>
        </w:rPr>
        <w:t>联系电话：029-86477988</w:t>
      </w:r>
    </w:p>
    <w:p>
      <w:pPr>
        <w:pStyle w:val="null3"/>
      </w:pPr>
      <w:r>
        <w:rPr>
          <w:rFonts w:ascii="仿宋_GB2312" w:hAnsi="仿宋_GB2312" w:cs="仿宋_GB2312" w:eastAsia="仿宋_GB2312"/>
        </w:rPr>
        <w:t>地址：西安市未央区未央路80号盛龙广场A区1号楼1单元2601-619室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经开区法律服务项目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管委会法律顾问服务项目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城市建设领域法律服务项目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300,000.00</w:t>
      </w:r>
    </w:p>
    <w:p>
      <w:pPr>
        <w:pStyle w:val="null3"/>
      </w:pPr>
      <w:r>
        <w:rPr>
          <w:rFonts w:ascii="仿宋_GB2312" w:hAnsi="仿宋_GB2312" w:cs="仿宋_GB2312" w:eastAsia="仿宋_GB2312"/>
        </w:rPr>
        <w:t>采购包最高限价（元）: 300,000.00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行政执法领域法律服务项目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标的名称：管委会法律顾问服务项目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1"/>
                <w:shd w:fill="FFFFFF" w:val="clear"/>
              </w:rPr>
              <w:t>管委会法律顾问为管委会的重大决策、行政规范性文件、合同协议等提供合法性审查，出具备忘录、法律意见书等；应邀代理管委会及相关部门涉及的诉讼、仲裁、行政复议等案件。</w:t>
            </w:r>
          </w:p>
          <w:p>
            <w:pPr>
              <w:pStyle w:val="null3"/>
              <w:jc w:val="left"/>
            </w:pPr>
            <w:r>
              <w:rPr>
                <w:rFonts w:ascii="仿宋_GB2312" w:hAnsi="仿宋_GB2312" w:cs="仿宋_GB2312" w:eastAsia="仿宋_GB2312"/>
                <w:sz w:val="21"/>
                <w:shd w:fill="FFFFFF" w:val="clear"/>
              </w:rPr>
              <w:t>A、为日常行政行为提供以下基础法律服务：</w:t>
            </w:r>
          </w:p>
          <w:p>
            <w:pPr>
              <w:pStyle w:val="null3"/>
              <w:jc w:val="left"/>
            </w:pPr>
            <w:r>
              <w:rPr>
                <w:rFonts w:ascii="仿宋_GB2312" w:hAnsi="仿宋_GB2312" w:cs="仿宋_GB2312" w:eastAsia="仿宋_GB2312"/>
                <w:sz w:val="21"/>
                <w:shd w:fill="FFFFFF" w:val="clear"/>
              </w:rPr>
              <w:t>1、每周固定坐班时间，其他时间根据工作需要随叫随到，针对本项目配备常年法律服务团队；</w:t>
            </w:r>
          </w:p>
          <w:p>
            <w:pPr>
              <w:pStyle w:val="null3"/>
              <w:jc w:val="left"/>
            </w:pPr>
            <w:r>
              <w:rPr>
                <w:rFonts w:ascii="仿宋_GB2312" w:hAnsi="仿宋_GB2312" w:cs="仿宋_GB2312" w:eastAsia="仿宋_GB2312"/>
                <w:sz w:val="21"/>
                <w:shd w:fill="FFFFFF" w:val="clear"/>
              </w:rPr>
              <w:t>2、为管委会重大决策、规章制度、合同、招标文件提供法律审查，必要时提出书面法律意见；</w:t>
            </w:r>
          </w:p>
          <w:p>
            <w:pPr>
              <w:pStyle w:val="null3"/>
              <w:jc w:val="left"/>
            </w:pPr>
            <w:r>
              <w:rPr>
                <w:rFonts w:ascii="仿宋_GB2312" w:hAnsi="仿宋_GB2312" w:cs="仿宋_GB2312" w:eastAsia="仿宋_GB2312"/>
                <w:sz w:val="21"/>
                <w:shd w:fill="FFFFFF" w:val="clear"/>
              </w:rPr>
              <w:t>3、应相关部门的要求，草拟、审查、修改日常经营所涉合同及其他有关法律文书，审核签署意见；</w:t>
            </w:r>
          </w:p>
          <w:p>
            <w:pPr>
              <w:pStyle w:val="null3"/>
              <w:jc w:val="left"/>
            </w:pPr>
            <w:r>
              <w:rPr>
                <w:rFonts w:ascii="仿宋_GB2312" w:hAnsi="仿宋_GB2312" w:cs="仿宋_GB2312" w:eastAsia="仿宋_GB2312"/>
                <w:sz w:val="21"/>
                <w:shd w:fill="FFFFFF" w:val="clear"/>
              </w:rPr>
              <w:t>4、应邀参与管委会重大事项专题会议、合同谈判；</w:t>
            </w:r>
          </w:p>
          <w:p>
            <w:pPr>
              <w:pStyle w:val="null3"/>
              <w:jc w:val="left"/>
            </w:pPr>
            <w:r>
              <w:rPr>
                <w:rFonts w:ascii="仿宋_GB2312" w:hAnsi="仿宋_GB2312" w:cs="仿宋_GB2312" w:eastAsia="仿宋_GB2312"/>
                <w:sz w:val="21"/>
                <w:shd w:fill="FFFFFF" w:val="clear"/>
              </w:rPr>
              <w:t>5、协助开展法律、政策研究，提供最新法律、政策信息；对管委会员工进行法律知识培训，参与管委会普法宣传；</w:t>
            </w:r>
          </w:p>
          <w:p>
            <w:pPr>
              <w:pStyle w:val="null3"/>
              <w:jc w:val="left"/>
            </w:pPr>
            <w:r>
              <w:rPr>
                <w:rFonts w:ascii="仿宋_GB2312" w:hAnsi="仿宋_GB2312" w:cs="仿宋_GB2312" w:eastAsia="仿宋_GB2312"/>
                <w:sz w:val="21"/>
                <w:shd w:fill="FFFFFF" w:val="clear"/>
              </w:rPr>
              <w:t>6、协助处理日常行政管理、行政执法中的纠纷和争议；</w:t>
            </w:r>
          </w:p>
          <w:p>
            <w:pPr>
              <w:pStyle w:val="null3"/>
              <w:jc w:val="left"/>
            </w:pPr>
            <w:r>
              <w:rPr>
                <w:rFonts w:ascii="仿宋_GB2312" w:hAnsi="仿宋_GB2312" w:cs="仿宋_GB2312" w:eastAsia="仿宋_GB2312"/>
                <w:sz w:val="21"/>
                <w:shd w:fill="FFFFFF" w:val="clear"/>
              </w:rPr>
              <w:t>7、应管委会要求，向第三方发出律师函；</w:t>
            </w:r>
          </w:p>
          <w:p>
            <w:pPr>
              <w:pStyle w:val="null3"/>
              <w:jc w:val="left"/>
            </w:pPr>
            <w:r>
              <w:rPr>
                <w:rFonts w:ascii="仿宋_GB2312" w:hAnsi="仿宋_GB2312" w:cs="仿宋_GB2312" w:eastAsia="仿宋_GB2312"/>
                <w:sz w:val="21"/>
                <w:shd w:fill="FFFFFF" w:val="clear"/>
              </w:rPr>
              <w:t>8、参与并协助管委会相关部门同法院、检察院、公安机关等机构关于法律事项方面的沟通与交流；</w:t>
            </w:r>
          </w:p>
          <w:p>
            <w:pPr>
              <w:pStyle w:val="null3"/>
              <w:jc w:val="left"/>
            </w:pPr>
            <w:r>
              <w:rPr>
                <w:rFonts w:ascii="仿宋_GB2312" w:hAnsi="仿宋_GB2312" w:cs="仿宋_GB2312" w:eastAsia="仿宋_GB2312"/>
                <w:sz w:val="21"/>
                <w:shd w:fill="FFFFFF" w:val="clear"/>
              </w:rPr>
              <w:t>9、代理民事诉讼、仲裁、行政复议及行政诉讼等案件；</w:t>
            </w:r>
          </w:p>
          <w:p>
            <w:pPr>
              <w:pStyle w:val="null3"/>
              <w:jc w:val="left"/>
            </w:pPr>
            <w:r>
              <w:rPr>
                <w:rFonts w:ascii="仿宋_GB2312" w:hAnsi="仿宋_GB2312" w:cs="仿宋_GB2312" w:eastAsia="仿宋_GB2312"/>
                <w:sz w:val="21"/>
                <w:shd w:fill="FFFFFF" w:val="clear"/>
              </w:rPr>
              <w:t>10、审查管委会及各局办通过媒体或者其他方式向公众发布的公告、启事、广告和其他形式的宣传片的内容，并提出修改意见；</w:t>
            </w:r>
          </w:p>
          <w:p>
            <w:pPr>
              <w:pStyle w:val="null3"/>
              <w:jc w:val="left"/>
            </w:pPr>
            <w:r>
              <w:rPr>
                <w:rFonts w:ascii="仿宋_GB2312" w:hAnsi="仿宋_GB2312" w:cs="仿宋_GB2312" w:eastAsia="仿宋_GB2312"/>
                <w:sz w:val="21"/>
                <w:shd w:fill="FFFFFF" w:val="clear"/>
              </w:rPr>
              <w:t>11、为法治政府建设的重大问题及其他重点、难点、热点问题提供法律意见或建议。</w:t>
            </w:r>
          </w:p>
          <w:p>
            <w:pPr>
              <w:pStyle w:val="null3"/>
              <w:jc w:val="left"/>
            </w:pPr>
            <w:r>
              <w:rPr>
                <w:rFonts w:ascii="仿宋_GB2312" w:hAnsi="仿宋_GB2312" w:cs="仿宋_GB2312" w:eastAsia="仿宋_GB2312"/>
                <w:sz w:val="21"/>
                <w:shd w:fill="FFFFFF" w:val="clear"/>
              </w:rPr>
              <w:t>B、为各相关部门提供以下专项法律服务：</w:t>
            </w:r>
          </w:p>
          <w:p>
            <w:pPr>
              <w:pStyle w:val="null3"/>
              <w:jc w:val="left"/>
            </w:pPr>
            <w:r>
              <w:rPr>
                <w:rFonts w:ascii="仿宋_GB2312" w:hAnsi="仿宋_GB2312" w:cs="仿宋_GB2312" w:eastAsia="仿宋_GB2312"/>
                <w:sz w:val="21"/>
                <w:shd w:fill="FFFFFF" w:val="clear"/>
              </w:rPr>
              <w:t>1、协助处理突发事件，提供法律咨询、法律意见、出具法律意见书；</w:t>
            </w:r>
          </w:p>
          <w:p>
            <w:pPr>
              <w:pStyle w:val="null3"/>
              <w:jc w:val="left"/>
            </w:pPr>
            <w:r>
              <w:rPr>
                <w:rFonts w:ascii="仿宋_GB2312" w:hAnsi="仿宋_GB2312" w:cs="仿宋_GB2312" w:eastAsia="仿宋_GB2312"/>
                <w:sz w:val="21"/>
                <w:shd w:fill="FFFFFF" w:val="clear"/>
              </w:rPr>
              <w:t>2、在房屋拆迁征收过程中，提供拆迁征收、改造过程中全程提供法律咨询、法律意见，修改审查拆迁协议、文书、方案；协助处理涉及拆迁征收诉讼、仲裁、执行程序；</w:t>
            </w:r>
          </w:p>
          <w:p>
            <w:pPr>
              <w:pStyle w:val="null3"/>
              <w:jc w:val="left"/>
            </w:pPr>
            <w:r>
              <w:rPr>
                <w:rFonts w:ascii="仿宋_GB2312" w:hAnsi="仿宋_GB2312" w:cs="仿宋_GB2312" w:eastAsia="仿宋_GB2312"/>
                <w:sz w:val="21"/>
                <w:shd w:fill="FFFFFF" w:val="clear"/>
              </w:rPr>
              <w:t>3、在招商引资过程中提供法律咨询、法律建议，草拟、制订、审查或者修改合同等法律文书；</w:t>
            </w:r>
          </w:p>
          <w:p>
            <w:pPr>
              <w:pStyle w:val="null3"/>
              <w:jc w:val="left"/>
            </w:pPr>
            <w:r>
              <w:rPr>
                <w:rFonts w:ascii="仿宋_GB2312" w:hAnsi="仿宋_GB2312" w:cs="仿宋_GB2312" w:eastAsia="仿宋_GB2312"/>
                <w:sz w:val="21"/>
                <w:shd w:fill="FFFFFF" w:val="clear"/>
              </w:rPr>
              <w:t>4、对土地遗留问题、强制性拆除、收回等事项提供法律咨询、出具法律意见书；</w:t>
            </w:r>
          </w:p>
          <w:p>
            <w:pPr>
              <w:pStyle w:val="null3"/>
              <w:jc w:val="left"/>
            </w:pPr>
            <w:r>
              <w:rPr>
                <w:rFonts w:ascii="仿宋_GB2312" w:hAnsi="仿宋_GB2312" w:cs="仿宋_GB2312" w:eastAsia="仿宋_GB2312"/>
                <w:sz w:val="21"/>
                <w:shd w:fill="FFFFFF" w:val="clear"/>
              </w:rPr>
              <w:t>5、对基金设立、募集、投融资方面相关法律问题，提供法律环境评价与法律咨询；</w:t>
            </w:r>
          </w:p>
          <w:p>
            <w:pPr>
              <w:pStyle w:val="null3"/>
              <w:jc w:val="left"/>
            </w:pPr>
            <w:r>
              <w:rPr>
                <w:rFonts w:ascii="仿宋_GB2312" w:hAnsi="仿宋_GB2312" w:cs="仿宋_GB2312" w:eastAsia="仿宋_GB2312"/>
                <w:sz w:val="21"/>
                <w:shd w:fill="FFFFFF" w:val="clear"/>
              </w:rPr>
              <w:t>6、应相关部门要求，对政府依法行政及公共事务相关法律问题，提供法律咨询。</w:t>
            </w:r>
          </w:p>
          <w:p>
            <w:pPr>
              <w:pStyle w:val="null3"/>
              <w:jc w:val="left"/>
            </w:pPr>
            <w:r>
              <w:rPr>
                <w:rFonts w:ascii="仿宋_GB2312" w:hAnsi="仿宋_GB2312" w:cs="仿宋_GB2312" w:eastAsia="仿宋_GB2312"/>
                <w:sz w:val="21"/>
                <w:shd w:fill="FFFFFF" w:val="clear"/>
              </w:rPr>
              <w:t>7、为区内小微企业提供法律咨询服务。</w:t>
            </w:r>
          </w:p>
          <w:p>
            <w:pPr>
              <w:pStyle w:val="null3"/>
              <w:jc w:val="left"/>
            </w:pPr>
            <w:r>
              <w:rPr>
                <w:rFonts w:ascii="仿宋_GB2312" w:hAnsi="仿宋_GB2312" w:cs="仿宋_GB2312" w:eastAsia="仿宋_GB2312"/>
                <w:sz w:val="21"/>
                <w:shd w:fill="FFFFFF" w:val="clear"/>
              </w:rPr>
              <w:t>C、协助参与管委会信访维稳法律服务：</w:t>
            </w:r>
          </w:p>
          <w:p>
            <w:pPr>
              <w:pStyle w:val="null3"/>
              <w:jc w:val="left"/>
            </w:pPr>
            <w:r>
              <w:rPr>
                <w:rFonts w:ascii="仿宋_GB2312" w:hAnsi="仿宋_GB2312" w:cs="仿宋_GB2312" w:eastAsia="仿宋_GB2312"/>
                <w:sz w:val="21"/>
                <w:shd w:fill="FFFFFF" w:val="clear"/>
              </w:rPr>
              <w:t>1、协助参与信访接待；</w:t>
            </w:r>
          </w:p>
          <w:p>
            <w:pPr>
              <w:pStyle w:val="null3"/>
              <w:jc w:val="left"/>
            </w:pPr>
            <w:r>
              <w:rPr>
                <w:rFonts w:ascii="仿宋_GB2312" w:hAnsi="仿宋_GB2312" w:cs="仿宋_GB2312" w:eastAsia="仿宋_GB2312"/>
                <w:sz w:val="21"/>
                <w:shd w:fill="FFFFFF" w:val="clear"/>
              </w:rPr>
              <w:t>2、协助提供法律咨询、解释和宣传；</w:t>
            </w:r>
          </w:p>
          <w:p>
            <w:pPr>
              <w:pStyle w:val="null3"/>
              <w:jc w:val="left"/>
            </w:pPr>
            <w:r>
              <w:rPr>
                <w:rFonts w:ascii="仿宋_GB2312" w:hAnsi="仿宋_GB2312" w:cs="仿宋_GB2312" w:eastAsia="仿宋_GB2312"/>
                <w:sz w:val="21"/>
                <w:shd w:fill="FFFFFF" w:val="clear"/>
              </w:rPr>
              <w:t>3、指派专业律师就信访争议事项向当事人提供非诉调解；</w:t>
            </w:r>
          </w:p>
          <w:p>
            <w:pPr>
              <w:pStyle w:val="null3"/>
              <w:jc w:val="left"/>
            </w:pPr>
            <w:r>
              <w:rPr>
                <w:rFonts w:ascii="仿宋_GB2312" w:hAnsi="仿宋_GB2312" w:cs="仿宋_GB2312" w:eastAsia="仿宋_GB2312"/>
                <w:sz w:val="21"/>
                <w:shd w:fill="FFFFFF" w:val="clear"/>
              </w:rPr>
              <w:t>4、协助信访部门做好信访答复工作。</w:t>
            </w:r>
          </w:p>
          <w:p>
            <w:pPr>
              <w:pStyle w:val="null3"/>
              <w:jc w:val="both"/>
            </w:pPr>
            <w:r>
              <w:rPr>
                <w:rFonts w:ascii="仿宋_GB2312" w:hAnsi="仿宋_GB2312" w:cs="仿宋_GB2312" w:eastAsia="仿宋_GB2312"/>
                <w:sz w:val="21"/>
                <w:shd w:fill="FFFFFF" w:val="clear"/>
              </w:rPr>
              <w:t>除上述三大板块外，</w:t>
            </w:r>
            <w:r>
              <w:rPr>
                <w:rFonts w:ascii="仿宋_GB2312" w:hAnsi="仿宋_GB2312" w:cs="仿宋_GB2312" w:eastAsia="仿宋_GB2312"/>
                <w:sz w:val="21"/>
                <w:shd w:fill="FFFFFF" w:val="clear"/>
              </w:rPr>
              <w:t>需要</w:t>
            </w:r>
            <w:r>
              <w:rPr>
                <w:rFonts w:ascii="仿宋_GB2312" w:hAnsi="仿宋_GB2312" w:cs="仿宋_GB2312" w:eastAsia="仿宋_GB2312"/>
                <w:sz w:val="21"/>
                <w:shd w:fill="FFFFFF" w:val="clear"/>
              </w:rPr>
              <w:t>全方位参与论证采购</w:t>
            </w:r>
            <w:r>
              <w:rPr>
                <w:rFonts w:ascii="仿宋_GB2312" w:hAnsi="仿宋_GB2312" w:cs="仿宋_GB2312" w:eastAsia="仿宋_GB2312"/>
                <w:sz w:val="21"/>
                <w:shd w:fill="FFFFFF" w:val="clear"/>
              </w:rPr>
              <w:t>人</w:t>
            </w:r>
            <w:r>
              <w:rPr>
                <w:rFonts w:ascii="仿宋_GB2312" w:hAnsi="仿宋_GB2312" w:cs="仿宋_GB2312" w:eastAsia="仿宋_GB2312"/>
                <w:sz w:val="21"/>
                <w:shd w:fill="FFFFFF" w:val="clear"/>
              </w:rPr>
              <w:t>重大决策并对合法性和可行性提出意见；为</w:t>
            </w:r>
            <w:r>
              <w:rPr>
                <w:rFonts w:ascii="仿宋_GB2312" w:hAnsi="仿宋_GB2312" w:cs="仿宋_GB2312" w:eastAsia="仿宋_GB2312"/>
                <w:sz w:val="21"/>
                <w:shd w:fill="FFFFFF" w:val="clear"/>
              </w:rPr>
              <w:t>我单位</w:t>
            </w:r>
            <w:r>
              <w:rPr>
                <w:rFonts w:ascii="仿宋_GB2312" w:hAnsi="仿宋_GB2312" w:cs="仿宋_GB2312" w:eastAsia="仿宋_GB2312"/>
                <w:sz w:val="21"/>
                <w:shd w:fill="FFFFFF" w:val="clear"/>
              </w:rPr>
              <w:t>的重大行政决策行为、行政行为提供法律意见；为</w:t>
            </w:r>
            <w:r>
              <w:rPr>
                <w:rFonts w:ascii="仿宋_GB2312" w:hAnsi="仿宋_GB2312" w:cs="仿宋_GB2312" w:eastAsia="仿宋_GB2312"/>
                <w:sz w:val="21"/>
                <w:shd w:fill="FFFFFF" w:val="clear"/>
              </w:rPr>
              <w:t>我单位</w:t>
            </w:r>
            <w:r>
              <w:rPr>
                <w:rFonts w:ascii="仿宋_GB2312" w:hAnsi="仿宋_GB2312" w:cs="仿宋_GB2312" w:eastAsia="仿宋_GB2312"/>
                <w:sz w:val="21"/>
                <w:shd w:fill="FFFFFF" w:val="clear"/>
              </w:rPr>
              <w:t>的重大决策行为、行政行为提供准确的法律依据和政策依据；为</w:t>
            </w:r>
            <w:r>
              <w:rPr>
                <w:rFonts w:ascii="仿宋_GB2312" w:hAnsi="仿宋_GB2312" w:cs="仿宋_GB2312" w:eastAsia="仿宋_GB2312"/>
                <w:sz w:val="21"/>
                <w:shd w:fill="FFFFFF" w:val="clear"/>
              </w:rPr>
              <w:t>我</w:t>
            </w:r>
            <w:r>
              <w:rPr>
                <w:rFonts w:ascii="仿宋_GB2312" w:hAnsi="仿宋_GB2312" w:cs="仿宋_GB2312" w:eastAsia="仿宋_GB2312"/>
                <w:sz w:val="21"/>
                <w:shd w:fill="FFFFFF" w:val="clear"/>
              </w:rPr>
              <w:t>单位正在实施或准备实施的行政行为提供法律咨询意见；为</w:t>
            </w:r>
            <w:r>
              <w:rPr>
                <w:rFonts w:ascii="仿宋_GB2312" w:hAnsi="仿宋_GB2312" w:cs="仿宋_GB2312" w:eastAsia="仿宋_GB2312"/>
                <w:sz w:val="21"/>
                <w:shd w:fill="FFFFFF" w:val="clear"/>
              </w:rPr>
              <w:t>我</w:t>
            </w:r>
            <w:r>
              <w:rPr>
                <w:rFonts w:ascii="仿宋_GB2312" w:hAnsi="仿宋_GB2312" w:cs="仿宋_GB2312" w:eastAsia="仿宋_GB2312"/>
                <w:sz w:val="21"/>
                <w:shd w:fill="FFFFFF" w:val="clear"/>
              </w:rPr>
              <w:t>单位进行的各项改革措施提供法律咨询意见；协助、配合</w:t>
            </w:r>
            <w:r>
              <w:rPr>
                <w:rFonts w:ascii="仿宋_GB2312" w:hAnsi="仿宋_GB2312" w:cs="仿宋_GB2312" w:eastAsia="仿宋_GB2312"/>
                <w:sz w:val="21"/>
                <w:shd w:fill="FFFFFF" w:val="clear"/>
              </w:rPr>
              <w:t>我</w:t>
            </w:r>
            <w:r>
              <w:rPr>
                <w:rFonts w:ascii="仿宋_GB2312" w:hAnsi="仿宋_GB2312" w:cs="仿宋_GB2312" w:eastAsia="仿宋_GB2312"/>
                <w:sz w:val="21"/>
                <w:shd w:fill="FFFFFF" w:val="clear"/>
              </w:rPr>
              <w:t>单位处理行政管理过程中出现的疑难信访事项，对信访群众提供法律咨询和引导；结合</w:t>
            </w:r>
            <w:r>
              <w:rPr>
                <w:rFonts w:ascii="仿宋_GB2312" w:hAnsi="仿宋_GB2312" w:cs="仿宋_GB2312" w:eastAsia="仿宋_GB2312"/>
                <w:sz w:val="21"/>
                <w:shd w:fill="FFFFFF" w:val="clear"/>
              </w:rPr>
              <w:t>我</w:t>
            </w:r>
            <w:r>
              <w:rPr>
                <w:rFonts w:ascii="仿宋_GB2312" w:hAnsi="仿宋_GB2312" w:cs="仿宋_GB2312" w:eastAsia="仿宋_GB2312"/>
                <w:sz w:val="21"/>
                <w:shd w:fill="FFFFFF" w:val="clear"/>
              </w:rPr>
              <w:t>单位的职权职责，根据</w:t>
            </w:r>
            <w:r>
              <w:rPr>
                <w:rFonts w:ascii="仿宋_GB2312" w:hAnsi="仿宋_GB2312" w:cs="仿宋_GB2312" w:eastAsia="仿宋_GB2312"/>
                <w:sz w:val="21"/>
                <w:shd w:fill="FFFFFF" w:val="clear"/>
              </w:rPr>
              <w:t>我</w:t>
            </w:r>
            <w:r>
              <w:rPr>
                <w:rFonts w:ascii="仿宋_GB2312" w:hAnsi="仿宋_GB2312" w:cs="仿宋_GB2312" w:eastAsia="仿宋_GB2312"/>
                <w:sz w:val="21"/>
                <w:shd w:fill="FFFFFF" w:val="clear"/>
              </w:rPr>
              <w:t>单位的具体需求，有针对性地进行专题法律培训，提高相关人员的法律意识；参与</w:t>
            </w:r>
            <w:r>
              <w:rPr>
                <w:rFonts w:ascii="仿宋_GB2312" w:hAnsi="仿宋_GB2312" w:cs="仿宋_GB2312" w:eastAsia="仿宋_GB2312"/>
                <w:sz w:val="21"/>
                <w:shd w:fill="FFFFFF" w:val="clear"/>
              </w:rPr>
              <w:t>我</w:t>
            </w:r>
            <w:r>
              <w:rPr>
                <w:rFonts w:ascii="仿宋_GB2312" w:hAnsi="仿宋_GB2312" w:cs="仿宋_GB2312" w:eastAsia="仿宋_GB2312"/>
                <w:sz w:val="21"/>
                <w:shd w:fill="FFFFFF" w:val="clear"/>
              </w:rPr>
              <w:t>单位执法、听证、行政复议、行政诉讼事务，提供程序法与实体法的相应依据；起草、审查、修改法律各类法律文件；</w:t>
            </w:r>
            <w:r>
              <w:rPr>
                <w:rFonts w:ascii="仿宋_GB2312" w:hAnsi="仿宋_GB2312" w:cs="仿宋_GB2312" w:eastAsia="仿宋_GB2312"/>
                <w:sz w:val="21"/>
                <w:shd w:fill="FFFFFF" w:val="clear"/>
              </w:rPr>
              <w:t>我</w:t>
            </w:r>
            <w:r>
              <w:rPr>
                <w:rFonts w:ascii="仿宋_GB2312" w:hAnsi="仿宋_GB2312" w:cs="仿宋_GB2312" w:eastAsia="仿宋_GB2312"/>
                <w:sz w:val="21"/>
                <w:shd w:fill="FFFFFF" w:val="clear"/>
              </w:rPr>
              <w:t>单位交办或委托的其他法律事务。</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标的名称：城市建设领域法律服务项目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shd w:fill="FFFFFF" w:val="clear"/>
              </w:rPr>
              <w:t>包括但不限于在房屋拆迁征收、改造、建设过程中全程提供法律咨询、法律意见，审查修改拆迁协议、文书、方案；协助处理涉及拆迁征收、工程建设等诉讼、仲裁、执行程序；对土地遗留问题、强制性拆除、收回等事项提供法律咨询、出具法律意见书；代理管委会或市级主管部门转派的涉及拆迁安置、工程建设、政府信息公开等的诉讼、仲裁、行政复议等案件。</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标的名称：行政执法领域法律服务项目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shd w:fill="FFFFFF" w:val="clear"/>
              </w:rPr>
              <w:t>包括但不限于为各行政执法部门协助处理突发事件，应邀参与行政执法文书的审核，代理管委会或市级主管部门转派的涉及各执法领域的诉讼、仲裁、行政复议等案件，不定期为行政执法人员开展行业法律法规培训，组织参与各项法治宣传活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为保证项目质量，供应商应配置足够数量、专业的、经验丰富的法律服务团队完成项目履约。</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为保证项目质量，供应商应配置足够数量、专业的、经验丰富的法律服务团队完成项目履约。</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为保证项目质量，供应商应配置足够数量、专业的、经验丰富的法律服务团队完成项目履约。</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有符合完成本项目服务内容的办公设备设施。</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有符合完成本项目服务内容的办公设备设施。</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有符合完成本项目服务内容的办公设备设施。</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自合同签订之日起1年</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自合同签订之日起1年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采购人指定地点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符合国家及行业相关标准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符合国家及行业相关标准</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符合国家及行业相关标准</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服务期满后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服务期满后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服务期满后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详见合同附件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详见合同附件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详见合同附件</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关于弃标的说明：按照《西安市财政局关于促进政府采购公平竞争优化营商环境的通知》（市财函〔2021〕431号）规定：供应商登记免费领取磋商文件的，如不参与项目磋商，应在提交磋商响应文件截止时间前一日以书面形式告知采购代理机构（出具弃标函发送至代理机构邮箱：sxzhxmgl001@163.com）。否则，采购代理机构可以向财政部门反映情况并提供相应的佐证。供应商一年内累计出现三次该情形，将被监管部门记录为失信行为。 纸质版响应文件要求：成交供应商在领取成交通知书前，须向采购代理机构提供纸质版响应文件3套（1正2副），U盘2份（包括响应文件的全部内容）且提供的响应文件必须与在陕西省政府采购综合管理平台的项目电子化交易系统中提交的电子响应文件内容一致，纸质版响应文件必须装订成册签字盖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1.提供合格有效的法人或者其他组织的营业执照等证明文件（含营业执照\事业单位法人证书\民办非企业单位登记证书\非企业专业服务机构执业许可证等），供应商是自然人的应提供有效的自然人身份证明； 2.提供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 3.提供具有履行合同所必需的设备和专业技术能力的承诺； 4.提供响应文件提交截止时间前一年内已缴纳的至少一个月的纳税证明或完税证明（任意税种，印花税及个人所得税除外），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1.提供合格有效的法人或者其他组织的营业执照等证明文件（含营业执照\事业单位法人证书\民办非企业单位登记证书\非企业专业服务机构执业许可证等），供应商是自然人的应提供有效的自然人身份证明； 2.提供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 3.提供具有履行合同所必需的设备和专业技术能力的承诺； 4.提供响应文件提交截止时间前一年内已缴纳的至少一个月的纳税证明或完税证明（任意税种，印花税及个人所得税除外），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供应商需在项目电子化交易系统中按要求填写《响应函》完成承诺并进行电子签章，并提供以下资料： 1.提供合格有效的法人或者其他组织的营业执照等证明文件（含营业执照\事业单位法人证书\民办非企业单位登记证书\非企业专业服务机构执业许可证等），供应商是自然人的应提供有效的自然人身份证明； 2.提供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 3.提供具有履行合同所必需的设备和专业技术能力的承诺； 4.提供响应文件提交截止时间前一年内已缴纳的至少一个月的纳税证明或完税证明（任意税种，印花税及个人所得税除外），纳税证明或完税证明上应有代收机构或税务机关的公章或业务专用章，依法免税的供应商应提供相应证明文件； 5.提供响应文件提交截止时间前一年内已缴存的至少一个月的社会保障资金缴存单据或社保机构开具的社会保险参保缴费情况证明，依法不需要缴纳社会保障资金的供应商应提供相应证明文件； 6.参加政府采购活动前三年内，在经营活动中没有重大违法记录的书面声明。</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上传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并进行电子签章。</w:t>
            </w:r>
          </w:p>
        </w:tc>
        <w:tc>
          <w:tcPr>
            <w:tcW w:type="dxa" w:w="1661"/>
          </w:tcPr>
          <w:p>
            <w:pPr>
              <w:pStyle w:val="null3"/>
            </w:pPr>
            <w:r>
              <w:rPr>
                <w:rFonts w:ascii="仿宋_GB2312" w:hAnsi="仿宋_GB2312" w:cs="仿宋_GB2312" w:eastAsia="仿宋_GB2312"/>
              </w:rPr>
              <w:t>资格证明文件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执业许可证</w:t>
            </w:r>
          </w:p>
        </w:tc>
        <w:tc>
          <w:tcPr>
            <w:tcW w:type="dxa" w:w="3322"/>
          </w:tcPr>
          <w:p>
            <w:pPr>
              <w:pStyle w:val="null3"/>
            </w:pPr>
            <w:r>
              <w:rPr>
                <w:rFonts w:ascii="仿宋_GB2312" w:hAnsi="仿宋_GB2312" w:cs="仿宋_GB2312" w:eastAsia="仿宋_GB2312"/>
              </w:rPr>
              <w:t>供应商须具有律师事务所执业许可证。</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执业许可证</w:t>
            </w:r>
          </w:p>
        </w:tc>
        <w:tc>
          <w:tcPr>
            <w:tcW w:type="dxa" w:w="3322"/>
          </w:tcPr>
          <w:p>
            <w:pPr>
              <w:pStyle w:val="null3"/>
            </w:pPr>
            <w:r>
              <w:rPr>
                <w:rFonts w:ascii="仿宋_GB2312" w:hAnsi="仿宋_GB2312" w:cs="仿宋_GB2312" w:eastAsia="仿宋_GB2312"/>
              </w:rPr>
              <w:t>供应商须具有律师事务所执业许可证。</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法定代表人直接参加磋商的，须出具法定代表人身份证明。法定代表人委托代理人参加磋商的，须出具法定代表人授权书（附法定代表人、代理人身份证复印件）及代理人本单位证明（响应文件提交截止日前六个月内任意一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执业许可证</w:t>
            </w:r>
          </w:p>
        </w:tc>
        <w:tc>
          <w:tcPr>
            <w:tcW w:type="dxa" w:w="3322"/>
          </w:tcPr>
          <w:p>
            <w:pPr>
              <w:pStyle w:val="null3"/>
            </w:pPr>
            <w:r>
              <w:rPr>
                <w:rFonts w:ascii="仿宋_GB2312" w:hAnsi="仿宋_GB2312" w:cs="仿宋_GB2312" w:eastAsia="仿宋_GB2312"/>
              </w:rPr>
              <w:t>供应商须具有律师事务所执业许可证。</w:t>
            </w:r>
          </w:p>
        </w:tc>
        <w:tc>
          <w:tcPr>
            <w:tcW w:type="dxa" w:w="1661"/>
          </w:tcPr>
          <w:p>
            <w:pPr>
              <w:pStyle w:val="null3"/>
            </w:pPr>
            <w:r>
              <w:rPr>
                <w:rFonts w:ascii="仿宋_GB2312" w:hAnsi="仿宋_GB2312" w:cs="仿宋_GB2312" w:eastAsia="仿宋_GB2312"/>
              </w:rPr>
              <w:t>资格证明文件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中小企业声明函 报价表 技术和商务偏离表 响应文件封面 资格证明文件 业绩证明材料 残疾人福利性单位声明函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中小企业声明函 报价表 技术和商务偏离表 响应文件封面 资格证明文件 业绩证明材料 残疾人福利性单位声明函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技术和商务偏离表 合同条款响应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服务方案 技术和商务偏离表</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中小企业声明函 报价表 技术和商务偏离表 响应文件封面 资格证明文件 业绩证明材料 残疾人福利性单位声明函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中小企业声明函 报价表 技术和商务偏离表 响应文件封面 资格证明文件 业绩证明材料 残疾人福利性单位声明函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技术和商务偏离表 合同条款响应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服务方案 技术和商务偏离表</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响应文件中项目名称、项目编号</w:t>
            </w:r>
          </w:p>
        </w:tc>
        <w:tc>
          <w:tcPr>
            <w:tcW w:type="dxa" w:w="3322"/>
          </w:tcPr>
          <w:p>
            <w:pPr>
              <w:pStyle w:val="null3"/>
            </w:pPr>
            <w:r>
              <w:rPr>
                <w:rFonts w:ascii="仿宋_GB2312" w:hAnsi="仿宋_GB2312" w:cs="仿宋_GB2312" w:eastAsia="仿宋_GB2312"/>
              </w:rPr>
              <w:t>与所投项目名称、项目编号完全一致</w:t>
            </w:r>
          </w:p>
        </w:tc>
        <w:tc>
          <w:tcPr>
            <w:tcW w:type="dxa" w:w="1661"/>
          </w:tcPr>
          <w:p>
            <w:pPr>
              <w:pStyle w:val="null3"/>
            </w:pPr>
            <w:r>
              <w:rPr>
                <w:rFonts w:ascii="仿宋_GB2312" w:hAnsi="仿宋_GB2312" w:cs="仿宋_GB2312" w:eastAsia="仿宋_GB2312"/>
              </w:rPr>
              <w:t>中小企业声明函 报价表 技术和商务偏离表 响应文件封面 资格证明文件 业绩证明材料 残疾人福利性单位声明函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符合磋商文件签署盖章要求</w:t>
            </w:r>
          </w:p>
        </w:tc>
        <w:tc>
          <w:tcPr>
            <w:tcW w:type="dxa" w:w="1661"/>
          </w:tcPr>
          <w:p>
            <w:pPr>
              <w:pStyle w:val="null3"/>
            </w:pPr>
            <w:r>
              <w:rPr>
                <w:rFonts w:ascii="仿宋_GB2312" w:hAnsi="仿宋_GB2312" w:cs="仿宋_GB2312" w:eastAsia="仿宋_GB2312"/>
              </w:rPr>
              <w:t>中小企业声明函 报价表 技术和商务偏离表 响应文件封面 资格证明文件 业绩证明材料 残疾人福利性单位声明函 服务方案 标的清单 陕西省政府采购供应商拒绝政府采购领域商业贿赂承诺书 响应函 合同条款响应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技术和商务偏离表 合同条款响应</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1.磋商报价唯一； 2.报价货币符合磋商文件要求； 3.未超出采购预算或磋商文件规定的最高限价</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合同条款</w:t>
            </w:r>
          </w:p>
        </w:tc>
        <w:tc>
          <w:tcPr>
            <w:tcW w:type="dxa" w:w="3322"/>
          </w:tcPr>
          <w:p>
            <w:pPr>
              <w:pStyle w:val="null3"/>
            </w:pPr>
            <w:r>
              <w:rPr>
                <w:rFonts w:ascii="仿宋_GB2312" w:hAnsi="仿宋_GB2312" w:cs="仿宋_GB2312" w:eastAsia="仿宋_GB2312"/>
              </w:rPr>
              <w:t>响应磋商文件合同条款未出现负偏离且响应的内容中未附有采购人不能接受的附加条件</w:t>
            </w:r>
          </w:p>
        </w:tc>
        <w:tc>
          <w:tcPr>
            <w:tcW w:type="dxa" w:w="1661"/>
          </w:tcPr>
          <w:p>
            <w:pPr>
              <w:pStyle w:val="null3"/>
            </w:pPr>
            <w:r>
              <w:rPr>
                <w:rFonts w:ascii="仿宋_GB2312" w:hAnsi="仿宋_GB2312" w:cs="仿宋_GB2312" w:eastAsia="仿宋_GB2312"/>
              </w:rPr>
              <w:t>合同条款响应</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无磋商文件中规定的无效情形</w:t>
            </w:r>
          </w:p>
        </w:tc>
        <w:tc>
          <w:tcPr>
            <w:tcW w:type="dxa" w:w="1661"/>
          </w:tcPr>
          <w:p>
            <w:pPr>
              <w:pStyle w:val="null3"/>
            </w:pPr>
            <w:r>
              <w:rPr>
                <w:rFonts w:ascii="仿宋_GB2312" w:hAnsi="仿宋_GB2312" w:cs="仿宋_GB2312" w:eastAsia="仿宋_GB2312"/>
              </w:rPr>
              <w:t>服务方案 技术和商务偏离表</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3：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采购包3：</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评审内容：①项目背景分析；②项目服务内容的理解。 评审标准：方案内容专门针对本项目编制，切合本项目实际情况及实施要求，内容与要点相符、每个要点均有展开详细的阐述且能够适用于本项目的得8分；评审内容有缺陷（缺陷是指：内容粗略、逻辑混乱、描述过于简单、与项目特点不匹配、凭空编造、逻辑漏洞、出现常识性错误、存在不可能实现的夸大情形）评审内容每项出现以上任一情形扣2分；方案缺漏项或只有标题没有实质性内容的扣4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沟通协调机制</w:t>
            </w:r>
          </w:p>
        </w:tc>
        <w:tc>
          <w:tcPr>
            <w:tcW w:type="dxa" w:w="2492"/>
          </w:tcPr>
          <w:p>
            <w:pPr>
              <w:pStyle w:val="null3"/>
            </w:pPr>
            <w:r>
              <w:rPr>
                <w:rFonts w:ascii="仿宋_GB2312" w:hAnsi="仿宋_GB2312" w:cs="仿宋_GB2312" w:eastAsia="仿宋_GB2312"/>
              </w:rPr>
              <w:t>评审内容：①沟通管理体系；②程序和建议。 评审标准：方案内容专门针对本项目编制，切合本项目实际情况及实施要求，内容与要点相符、每个要点均有展开详细的阐述且能够适用于本项目的得6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服务体系和工作流程</w:t>
            </w:r>
          </w:p>
        </w:tc>
        <w:tc>
          <w:tcPr>
            <w:tcW w:type="dxa" w:w="2492"/>
          </w:tcPr>
          <w:p>
            <w:pPr>
              <w:pStyle w:val="null3"/>
            </w:pPr>
            <w:r>
              <w:rPr>
                <w:rFonts w:ascii="仿宋_GB2312" w:hAnsi="仿宋_GB2312" w:cs="仿宋_GB2312" w:eastAsia="仿宋_GB2312"/>
              </w:rPr>
              <w:t>评审内容：①基础法律服务方案；②专项法律服务方案；③信访维稳法律服务方案。 评审标准：方案内容专门针对本项目编制，切合本项目实际情况及实施要求，内容与要点相符、每个要点均有展开详细的阐述且能够适用于本项目的得12分；评审内容有缺陷（缺陷是指：内容粗略、逻辑混乱、描述过于简单、与项目特点不匹配、凭空编造、逻辑漏洞、出现常识性错误、存在不可能实现的夸大情形）评审内容每项出现以上任一情形扣2分；方案缺漏项或只有标题没有实质性内容的扣4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评审内容：①质量保障措施；②廉洁、职业道德；③人事管理制度；④财务管理制度；⑤质量控制制度；⑥业务管理制度；⑦业务档案管理制度。 评审标准：方案内容专门针对本项目编制，切合本项目实际情况及实施要求，内容与要点相符、每个要点均有展开详细的阐述且能够适用于本项目的得14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项目主要人员</w:t>
            </w:r>
          </w:p>
        </w:tc>
        <w:tc>
          <w:tcPr>
            <w:tcW w:type="dxa" w:w="2492"/>
          </w:tcPr>
          <w:p>
            <w:pPr>
              <w:pStyle w:val="null3"/>
            </w:pPr>
            <w:r>
              <w:rPr>
                <w:rFonts w:ascii="仿宋_GB2312" w:hAnsi="仿宋_GB2312" w:cs="仿宋_GB2312" w:eastAsia="仿宋_GB2312"/>
              </w:rPr>
              <w:t>(1)项目负责人执业满5年以上(含5年)计4分,执业满3年以上(含3年)计2分，其他不得分； (2)拟派项目负责人具有类似项目业绩每提供一份计1分，最高计3分，未提供不计分。 注:（1）以加盖供应商公章的执业证书复印件或扫描件为准；（2）以加盖供应商公章的合同复印件或扫描件为准(合同需体现项目负责人姓名，如不能体现项目负责人姓名还应提供其他证明材料)。</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评审内容：①合理的人员数量配置；②人员分工责任明确；③人员经验资历丰富。 评审标准：方案内容专门针对本项目编制，切合本项目实际情况及实施要求，内容与要点相符、每个要点均有展开详细的阐述且能够适用于本项目的得6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 注:有关专职人员必须与供应商有正式劳动关系，提供社保缴纳证明或劳动合同复印件。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重点问题解决方案</w:t>
            </w:r>
          </w:p>
        </w:tc>
        <w:tc>
          <w:tcPr>
            <w:tcW w:type="dxa" w:w="2492"/>
          </w:tcPr>
          <w:p>
            <w:pPr>
              <w:pStyle w:val="null3"/>
            </w:pPr>
            <w:r>
              <w:rPr>
                <w:rFonts w:ascii="仿宋_GB2312" w:hAnsi="仿宋_GB2312" w:cs="仿宋_GB2312" w:eastAsia="仿宋_GB2312"/>
              </w:rPr>
              <w:t>评审内容：①工作重点、难点分析；②重点、难点解决方案。 评审标准：方案内容专门针对本项目编制，切合本项目实际情况及实施要求，内容与要点相符、每个要点均有展开详细的阐述且能够适用于本项目的得4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评审内容：①客户信息保密措施；②员工保密管理措施；③泄密的处理及处罚措施。 评审标准：方案内容专门针对本项目编制，切合本项目实际情况及实施要求，内容与要点相符、每个要点均有展开详细的阐述且能够适用于本项目的得9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3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评审内容：①服务内容；②服务方式；③服务响应时间；④服务管理及质量保证。 评审标准：方案内容专门针对本项目编制，切合本项目实际情况及实施要求，内容与要点相符、每个要点均有展开详细的阐述且能够适用于本项目的得8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服务配合计划</w:t>
            </w:r>
          </w:p>
        </w:tc>
        <w:tc>
          <w:tcPr>
            <w:tcW w:type="dxa" w:w="2492"/>
          </w:tcPr>
          <w:p>
            <w:pPr>
              <w:pStyle w:val="null3"/>
            </w:pPr>
            <w:r>
              <w:rPr>
                <w:rFonts w:ascii="仿宋_GB2312" w:hAnsi="仿宋_GB2312" w:cs="仿宋_GB2312" w:eastAsia="仿宋_GB2312"/>
              </w:rPr>
              <w:t>评审内容：①后期服务内容；②培训方案。 评审标准：方案内容专门针对本项目编制，切合本项目实际情况及实施要求，内容与要点相符、每个要点均有展开详细的阐述且能够适用于本项目的得6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提供供应商2022年1月至响应文件递交截止日类似项目业绩（以合同或裁判文书复印件为准），每提供一份业绩计2分，最高计10分。若提供虚假业绩，一经发现，按无效磋商处理。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评审内容：①项目背景分析；②项目服务内容的理解。 评审标准：方案内容专门针对本项目编制，切合本项目实际情况及实施要求，内容与要点相符、每个要点均有展开详细的阐述且能够适用于本项目的得8分；评审内容有缺陷（缺陷是指：内容粗略、逻辑混乱、描述过于简单、与项目特点不匹配、凭空编造、逻辑漏洞、出现常识性错误、存在不可能实现的夸大情形）评审内容每项出现以上任一情形扣2分；方案缺漏项或只有标题没有实质性内容的扣4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沟通协调机制</w:t>
            </w:r>
          </w:p>
        </w:tc>
        <w:tc>
          <w:tcPr>
            <w:tcW w:type="dxa" w:w="2492"/>
          </w:tcPr>
          <w:p>
            <w:pPr>
              <w:pStyle w:val="null3"/>
            </w:pPr>
            <w:r>
              <w:rPr>
                <w:rFonts w:ascii="仿宋_GB2312" w:hAnsi="仿宋_GB2312" w:cs="仿宋_GB2312" w:eastAsia="仿宋_GB2312"/>
              </w:rPr>
              <w:t>评审内容：①沟通管理体系；②程序和建议。 评审标准：方案内容专门针对本项目编制，切合本项目实际情况及实施要求，内容与要点相符、每个要点均有展开详细的阐述且能够适用于本项目的得6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服务体系和工作流程</w:t>
            </w:r>
          </w:p>
        </w:tc>
        <w:tc>
          <w:tcPr>
            <w:tcW w:type="dxa" w:w="2492"/>
          </w:tcPr>
          <w:p>
            <w:pPr>
              <w:pStyle w:val="null3"/>
            </w:pPr>
            <w:r>
              <w:rPr>
                <w:rFonts w:ascii="仿宋_GB2312" w:hAnsi="仿宋_GB2312" w:cs="仿宋_GB2312" w:eastAsia="仿宋_GB2312"/>
              </w:rPr>
              <w:t>评审内容：①房屋拆迁征收、改造、建设法律咨询服务方案；②对土地遗留问题、强制性拆除、收回等事项法律咨询服务方案；③诉讼、仲裁、行政复议等案件处理方案。 评审标准：方案内容专门针对本项目编制，切合本项目实际情况及实施要求，内容与要点相符、每个要点均有展开详细的阐述且能够适用于本项目的得12分；评审内容有缺陷（缺陷是指：内容粗略、逻辑混乱、描述过于简单、与项目特点不匹配、凭空编造、逻辑漏洞、出现常识性错误、存在不可能实现的夸大情形）评审内容每项出现以上任一情形扣2分；方案缺漏项或只有标题没有实质性内容的扣4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评审内容：①质量保障措施；②廉洁、职业道德；③人事管理制度；④财务管理制度；⑤质量控制制度；⑥业务管理制度；⑦业务档案管理制度。 评审标准：方案内容专门针对本项目编制，切合本项目实际情况及实施要求，内容与要点相符、每个要点均有展开详细的阐述且能够适用于本项目的得14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项目主要人员</w:t>
            </w:r>
          </w:p>
        </w:tc>
        <w:tc>
          <w:tcPr>
            <w:tcW w:type="dxa" w:w="2492"/>
          </w:tcPr>
          <w:p>
            <w:pPr>
              <w:pStyle w:val="null3"/>
            </w:pPr>
            <w:r>
              <w:rPr>
                <w:rFonts w:ascii="仿宋_GB2312" w:hAnsi="仿宋_GB2312" w:cs="仿宋_GB2312" w:eastAsia="仿宋_GB2312"/>
              </w:rPr>
              <w:t>(1)项目负责人执业满5年以上(含5年)计4分,执业满3年以上(含3年)计2分，其他不得分； (2)拟派项目负责人具有类似项目业绩每提供一份计1分，最高计3分，未提供不计分。 注:（1）以加盖供应商公章的执业证书复印件或扫描件为准；（2）以加盖供应商公章的合同复印件或扫描件为准(合同需体现项目负责人姓名，如不能体现项目负责人姓名还应提供其他证明材料)。</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评审内容：①合理的人员数量配置；②人员分工责任明确；③人员经验资历丰富。 评审标准：方案内容专门针对本项目编制，切合本项目实际情况及实施要求，内容与要点相符、每个要点均有展开详细的阐述且能够适用于本项目的得6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 注:有关专职人员必须与供应商有正式劳动关系，提供社保缴纳证明或劳动合同复印件。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重点问题解决方案</w:t>
            </w:r>
          </w:p>
        </w:tc>
        <w:tc>
          <w:tcPr>
            <w:tcW w:type="dxa" w:w="2492"/>
          </w:tcPr>
          <w:p>
            <w:pPr>
              <w:pStyle w:val="null3"/>
            </w:pPr>
            <w:r>
              <w:rPr>
                <w:rFonts w:ascii="仿宋_GB2312" w:hAnsi="仿宋_GB2312" w:cs="仿宋_GB2312" w:eastAsia="仿宋_GB2312"/>
              </w:rPr>
              <w:t>评审内容：①工作重点、难点分析；②重点、难点解决方案。 评审标准：方案内容专门针对本项目编制，切合本项目实际情况及实施要求，内容与要点相符、每个要点均有展开详细的阐述且能够适用于本项目的得4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评审内容：①客户信息保密措施；②员工保密管理措施；③泄密的处理及处罚措施。 评审标准：方案内容专门针对本项目编制，切合本项目实际情况及实施要求，内容与要点相符、每个要点均有展开详细的阐述且能够适用于本项目的得9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3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评审内容：①服务内容；②服务方式；③服务响应时间；④服务管理及质量保证。 评审标准：方案内容专门针对本项目编制，切合本项目实际情况及实施要求，内容与要点相符、每个要点均有展开详细的阐述且能够适用于本项目的得8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服务配合计划</w:t>
            </w:r>
          </w:p>
        </w:tc>
        <w:tc>
          <w:tcPr>
            <w:tcW w:type="dxa" w:w="2492"/>
          </w:tcPr>
          <w:p>
            <w:pPr>
              <w:pStyle w:val="null3"/>
            </w:pPr>
            <w:r>
              <w:rPr>
                <w:rFonts w:ascii="仿宋_GB2312" w:hAnsi="仿宋_GB2312" w:cs="仿宋_GB2312" w:eastAsia="仿宋_GB2312"/>
              </w:rPr>
              <w:t>评审内容：①后期服务内容；②培训方案。 评审标准：方案内容专门针对本项目编制，切合本项目实际情况及实施要求，内容与要点相符、每个要点均有展开详细的阐述且能够适用于本项目的得6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提供供应商2022年1月至响应文件递交截止日类似项目业绩（以合同或裁判文书复印件为准），每提供一份业绩计2分，最高计10分。若提供虚假业绩，一经发现，按无效磋商处理。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评审内容：①项目背景分析；②项目服务内容的理解。 评审标准：方案内容专门针对本项目编制，切合本项目实际情况及实施要求，内容与要点相符、每个要点均有展开详细的阐述且能够适用于本项目的得8分；评审内容有缺陷（缺陷是指：内容粗略、逻辑混乱、描述过于简单、与项目特点不匹配、凭空编造、逻辑漏洞、出现常识性错误、存在不可能实现的夸大情形）评审内容每项出现以上任一情形扣2分；方案缺漏项或只有标题没有实质性内容的扣4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沟通协调机制</w:t>
            </w:r>
          </w:p>
        </w:tc>
        <w:tc>
          <w:tcPr>
            <w:tcW w:type="dxa" w:w="2492"/>
          </w:tcPr>
          <w:p>
            <w:pPr>
              <w:pStyle w:val="null3"/>
            </w:pPr>
            <w:r>
              <w:rPr>
                <w:rFonts w:ascii="仿宋_GB2312" w:hAnsi="仿宋_GB2312" w:cs="仿宋_GB2312" w:eastAsia="仿宋_GB2312"/>
              </w:rPr>
              <w:t>评审内容：①沟通管理体系；②程序和建议。 评审标准：方案内容专门针对本项目编制，切合本项目实际情况及实施要求，内容与要点相符、每个要点均有展开详细的阐述且能够适用于本项目的得6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服务体系和工作流程</w:t>
            </w:r>
          </w:p>
        </w:tc>
        <w:tc>
          <w:tcPr>
            <w:tcW w:type="dxa" w:w="2492"/>
          </w:tcPr>
          <w:p>
            <w:pPr>
              <w:pStyle w:val="null3"/>
            </w:pPr>
            <w:r>
              <w:rPr>
                <w:rFonts w:ascii="仿宋_GB2312" w:hAnsi="仿宋_GB2312" w:cs="仿宋_GB2312" w:eastAsia="仿宋_GB2312"/>
              </w:rPr>
              <w:t>评审内容：①突发事件处理服务方案；②行政执法文书审核方案；③诉讼、仲裁、行政复议等案件处理方案。 评审标准：方案内容专门针对本项目编制，切合本项目实际情况及实施要求，内容与要点相符、每个要点均有展开详细的阐述且能够适用于本项目的得12分；评审内容有缺陷（缺陷是指：内容粗略、逻辑混乱、描述过于简单、与项目特点不匹配、凭空编造、逻辑漏洞、出现常识性错误、存在不可能实现的夸大情形）评审内容每项出现以上任一情形扣2分；方案缺漏项或只有标题没有实质性内容的扣4分，扣完为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保障措施</w:t>
            </w:r>
          </w:p>
        </w:tc>
        <w:tc>
          <w:tcPr>
            <w:tcW w:type="dxa" w:w="2492"/>
          </w:tcPr>
          <w:p>
            <w:pPr>
              <w:pStyle w:val="null3"/>
            </w:pPr>
            <w:r>
              <w:rPr>
                <w:rFonts w:ascii="仿宋_GB2312" w:hAnsi="仿宋_GB2312" w:cs="仿宋_GB2312" w:eastAsia="仿宋_GB2312"/>
              </w:rPr>
              <w:t>评审内容：①质量保障措施；②廉洁、职业道德；③人事管理制度；④财务管理制度；⑤质量控制制度；⑥业务管理制度；⑦业务档案管理制度。 评审标准：方案内容专门针对本项目编制，切合本项目实际情况及实施要求，内容与要点相符、每个要点均有展开详细的阐述且能够适用于本项目的得14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项目主要人员</w:t>
            </w:r>
          </w:p>
        </w:tc>
        <w:tc>
          <w:tcPr>
            <w:tcW w:type="dxa" w:w="2492"/>
          </w:tcPr>
          <w:p>
            <w:pPr>
              <w:pStyle w:val="null3"/>
            </w:pPr>
            <w:r>
              <w:rPr>
                <w:rFonts w:ascii="仿宋_GB2312" w:hAnsi="仿宋_GB2312" w:cs="仿宋_GB2312" w:eastAsia="仿宋_GB2312"/>
              </w:rPr>
              <w:t>(1)项目负责人执业满5年以上(含5年)计4分，执业满3年以上(含3年)计2分，其他不得分； (2)拟派项目负责人具有类似项目业绩每提供一份计1分，最高计3分，未提供不计分。 注:（1）以加盖供应商公章的执业证书复印件或扫描件为准；（2）以加盖供应商公章的合同复印件或扫描件为准(合同需体现项目负责人姓名，如不能体现项目负责人姓名还应提供其他证明材料)。</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评审内容：①合理的人员数量配置；②人员分工责任明确；③人员经验资历丰富。 评审标准：方案内容专门针对本项目编制，切合本项目实际情况及实施要求，内容与要点相符、每个要点均有展开详细的阐述且能够适用于本项目的得6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 注:有关专职人员必须与供应商有正式劳动关系，提供社保缴纳证明或劳动合同复印件。</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重点问题解决方案</w:t>
            </w:r>
          </w:p>
        </w:tc>
        <w:tc>
          <w:tcPr>
            <w:tcW w:type="dxa" w:w="2492"/>
          </w:tcPr>
          <w:p>
            <w:pPr>
              <w:pStyle w:val="null3"/>
            </w:pPr>
            <w:r>
              <w:rPr>
                <w:rFonts w:ascii="仿宋_GB2312" w:hAnsi="仿宋_GB2312" w:cs="仿宋_GB2312" w:eastAsia="仿宋_GB2312"/>
              </w:rPr>
              <w:t>评审内容：①工作重点、难点分析；②重点、难点解决方案。 评审标准：方案内容专门针对本项目编制，切合本项目实际情况及实施要求，内容与要点相符、每个要点均有展开详细的阐述且能够适用于本项目的得4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评审内容：①客户信息保密措施；②员工保密管理措施；③泄密的处理及处罚措施； 评审标准：方案内容专门针对本项目编制，切合本项目实际情况及实施要求，内容与要点相符、每个要点均有展开详细的阐述且能够适用于本项目的得9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3分，扣完为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评审内容：①服务内容；②服务方式；③服务响应时间；④服务管理及质量保证。 评审标准：方案内容专门针对本项目编制，切合本项目实际情况及实施要求，内容与要点相符、每个要点均有展开详细的阐述且能够适用于本项目的得8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2分，扣完为止。</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服务配合计划</w:t>
            </w:r>
          </w:p>
        </w:tc>
        <w:tc>
          <w:tcPr>
            <w:tcW w:type="dxa" w:w="2492"/>
          </w:tcPr>
          <w:p>
            <w:pPr>
              <w:pStyle w:val="null3"/>
            </w:pPr>
            <w:r>
              <w:rPr>
                <w:rFonts w:ascii="仿宋_GB2312" w:hAnsi="仿宋_GB2312" w:cs="仿宋_GB2312" w:eastAsia="仿宋_GB2312"/>
              </w:rPr>
              <w:t>评审内容：①后期服务内容；②培训方案。 评审标准：方案内容专门针对本项目编制，切合本项目实际情况及实施要求，内容与要点相符、每个要点均有展开详细的阐述且能够适用于本项目的得6分；评审内容有缺陷（缺陷是指：内容粗略、逻辑混乱、描述过于简单、与项目特点不匹配、凭空编造、逻辑漏洞、出现常识性错误、存在不可能实现的夸大情形）评审内容每项出现以上任一情形扣1分；方案缺漏项或只有标题没有实质性内容的扣3分，扣完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提供供应商2022年1月至响应文件递交截止日类似项目业绩（以合同或裁判文书复印件为准），每提供一份业绩计2分，最高计10分。若提供虚假业绩，一经发现，按无效磋商处理。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（1）经初审合格的磋商响应文件，其磋商报价为有效磋商报价。 （2）满足磋商文件实质性要求且最终报价最低的供应商的价格为磋商基准价，其价格分为满分10分。 （3）磋商报价得分=（磋商基准价/最终磋商报价）×10。</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承接本项目的供应商符合相应条件时，给予10%的价格扣除，即：评标价=最后报价×（1-10%）;监狱企业与残疾人福利性单位视同小型、微型企业，享受同等价格扣除，当企业属性重复时，不重复价格扣除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详见附件：合同条款响应</w:t>
      </w:r>
    </w:p>
    <w:p>
      <w:pPr>
        <w:pStyle w:val="null3"/>
        <w:ind w:firstLine="960"/>
      </w:pPr>
      <w:r>
        <w:rPr>
          <w:rFonts w:ascii="仿宋_GB2312" w:hAnsi="仿宋_GB2312" w:cs="仿宋_GB2312" w:eastAsia="仿宋_GB2312"/>
        </w:rPr>
        <w:t>详见附件：技术和商务偏离表</w:t>
      </w:r>
    </w:p>
    <w:p>
      <w:pPr>
        <w:pStyle w:val="null3"/>
        <w:ind w:firstLine="960"/>
      </w:pPr>
      <w:r>
        <w:rPr>
          <w:rFonts w:ascii="仿宋_GB2312" w:hAnsi="仿宋_GB2312" w:cs="仿宋_GB2312" w:eastAsia="仿宋_GB2312"/>
        </w:rPr>
        <w:t>详见附件：陕西省政府采购供应商拒绝政府采购领域商业贿赂承诺书</w:t>
      </w:r>
    </w:p>
    <w:p>
      <w:pPr>
        <w:pStyle w:val="null3"/>
        <w:ind w:firstLine="960"/>
      </w:pPr>
      <w:r>
        <w:rPr>
          <w:rFonts w:ascii="仿宋_GB2312" w:hAnsi="仿宋_GB2312" w:cs="仿宋_GB2312" w:eastAsia="仿宋_GB2312"/>
        </w:rPr>
        <w:t>详见附件：业绩证明材料</w:t>
      </w:r>
    </w:p>
    <w:p>
      <w:pPr>
        <w:pStyle w:val="null3"/>
        <w:ind w:firstLine="960"/>
      </w:pPr>
      <w:r>
        <w:rPr>
          <w:rFonts w:ascii="仿宋_GB2312" w:hAnsi="仿宋_GB2312" w:cs="仿宋_GB2312" w:eastAsia="仿宋_GB2312"/>
        </w:rPr>
        <w:t>详见附件：资格证明文件</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