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5F6D2AF">
      <w:pPr>
        <w:jc w:val="center"/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bookmarkStart w:id="0" w:name="_Toc29192"/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合同条款响应</w:t>
      </w:r>
      <w:bookmarkEnd w:id="0"/>
    </w:p>
    <w:tbl>
      <w:tblPr>
        <w:tblStyle w:val="3"/>
        <w:tblW w:w="9290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  <w:insideV w:val="single" w:color="auto" w:sz="2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88"/>
        <w:gridCol w:w="1549"/>
        <w:gridCol w:w="2628"/>
        <w:gridCol w:w="2636"/>
        <w:gridCol w:w="1489"/>
      </w:tblGrid>
      <w:tr w14:paraId="7E940CE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2257C69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154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0F36292B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条款名称</w:t>
            </w:r>
          </w:p>
        </w:tc>
        <w:tc>
          <w:tcPr>
            <w:tcW w:w="2628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4BD06D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文件合同条款明细</w:t>
            </w:r>
          </w:p>
        </w:tc>
        <w:tc>
          <w:tcPr>
            <w:tcW w:w="2636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40A2FAD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文件合同条款响应</w:t>
            </w:r>
          </w:p>
        </w:tc>
        <w:tc>
          <w:tcPr>
            <w:tcW w:w="1489" w:type="dxa"/>
            <w:tcBorders>
              <w:top w:val="single" w:color="auto" w:sz="12" w:space="0"/>
              <w:bottom w:val="single" w:color="auto" w:sz="2" w:space="0"/>
            </w:tcBorders>
            <w:noWrap w:val="0"/>
            <w:vAlign w:val="center"/>
          </w:tcPr>
          <w:p w14:paraId="7FC23B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响应说明</w:t>
            </w:r>
          </w:p>
        </w:tc>
      </w:tr>
      <w:tr w14:paraId="23AE4E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tcBorders>
              <w:top w:val="single" w:color="auto" w:sz="2" w:space="0"/>
            </w:tcBorders>
            <w:noWrap w:val="0"/>
            <w:vAlign w:val="center"/>
          </w:tcPr>
          <w:p w14:paraId="2249AE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tcBorders>
              <w:top w:val="single" w:color="auto" w:sz="2" w:space="0"/>
            </w:tcBorders>
            <w:noWrap w:val="0"/>
            <w:vAlign w:val="center"/>
          </w:tcPr>
          <w:p w14:paraId="14740E0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tcBorders>
              <w:top w:val="single" w:color="auto" w:sz="2" w:space="0"/>
            </w:tcBorders>
            <w:noWrap w:val="0"/>
            <w:vAlign w:val="center"/>
          </w:tcPr>
          <w:p w14:paraId="02F4209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tcBorders>
              <w:top w:val="single" w:color="auto" w:sz="2" w:space="0"/>
            </w:tcBorders>
            <w:noWrap w:val="0"/>
            <w:vAlign w:val="center"/>
          </w:tcPr>
          <w:p w14:paraId="0EBBF83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tcBorders>
              <w:top w:val="single" w:color="auto" w:sz="2" w:space="0"/>
            </w:tcBorders>
            <w:noWrap w:val="0"/>
            <w:vAlign w:val="center"/>
          </w:tcPr>
          <w:p w14:paraId="112D9A9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792D0B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4EF4CCC1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76C060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AEEA4F3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2287B38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30E7D2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8D4060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0FEDFF4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0C1BC14F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5C8F05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439864C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4F7BA12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20DED4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5722CCA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219A4B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3A09FE7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762A891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88AAB0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E85665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F7D97C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2633EE68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517124B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69A51FD6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1AD3FEA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831709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3CA55A0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6B9C5CE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0F6498D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5110650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02039669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69E3D2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2A054462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549" w:type="dxa"/>
            <w:noWrap w:val="0"/>
            <w:vAlign w:val="center"/>
          </w:tcPr>
          <w:p w14:paraId="17A4E62C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28" w:type="dxa"/>
            <w:noWrap w:val="0"/>
            <w:vAlign w:val="center"/>
          </w:tcPr>
          <w:p w14:paraId="20F26014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2636" w:type="dxa"/>
            <w:noWrap w:val="0"/>
            <w:vAlign w:val="center"/>
          </w:tcPr>
          <w:p w14:paraId="10346E4A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489" w:type="dxa"/>
            <w:noWrap w:val="0"/>
            <w:vAlign w:val="center"/>
          </w:tcPr>
          <w:p w14:paraId="663BC4ED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743D55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2" w:space="0"/>
            <w:insideV w:val="single" w:color="auto" w:sz="2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7" w:hRule="atLeast"/>
          <w:jc w:val="center"/>
        </w:trPr>
        <w:tc>
          <w:tcPr>
            <w:tcW w:w="988" w:type="dxa"/>
            <w:noWrap w:val="0"/>
            <w:vAlign w:val="center"/>
          </w:tcPr>
          <w:p w14:paraId="1A001965">
            <w:pPr>
              <w:shd w:val="clear" w:color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备注</w:t>
            </w:r>
          </w:p>
        </w:tc>
        <w:tc>
          <w:tcPr>
            <w:tcW w:w="8302" w:type="dxa"/>
            <w:gridSpan w:val="4"/>
            <w:noWrap w:val="0"/>
            <w:vAlign w:val="center"/>
          </w:tcPr>
          <w:p w14:paraId="10D274B8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“完全接受”的条款无需在本表中列出，但必须提交空白表；对于需要供应商填报的内容，以及“不能接受”或“有条件接受”的条款，则应写明该条款名称及条款明细、以及供应商所能接受的条件。</w:t>
            </w:r>
          </w:p>
          <w:p w14:paraId="2C3E56B7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若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文件含有采购人不能接受的附加条件的，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响应文件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无效。</w:t>
            </w:r>
          </w:p>
          <w:p w14:paraId="25EB259A">
            <w:pPr>
              <w:shd w:val="clear" w:color="auto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因表格空间因有限，不足以容纳响应内容时，允许在表后进行响应，但须在表中注明引用位置。</w:t>
            </w:r>
          </w:p>
        </w:tc>
      </w:tr>
    </w:tbl>
    <w:p w14:paraId="68856DA5">
      <w:pPr>
        <w:shd w:val="clear" w:color="auto"/>
        <w:spacing w:line="560" w:lineRule="exact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t>声明：除上表所列的合同条款外，</w:t>
      </w: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磋商</w:t>
      </w:r>
      <w:r>
        <w:rPr>
          <w:rFonts w:hint="eastAsia" w:ascii="宋体" w:hAnsi="宋体" w:eastAsia="宋体" w:cs="宋体"/>
          <w:color w:val="auto"/>
          <w:sz w:val="24"/>
          <w:highlight w:val="none"/>
        </w:rPr>
        <w:t>文件中的其他合同条款我方均完全接受。</w:t>
      </w:r>
    </w:p>
    <w:p w14:paraId="71A549AE">
      <w:pPr>
        <w:pStyle w:val="2"/>
        <w:shd w:val="clear" w:color="auto"/>
        <w:snapToGrid w:val="0"/>
        <w:spacing w:line="360" w:lineRule="auto"/>
        <w:ind w:firstLine="2822" w:firstLineChars="1176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68A520F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7A1C3A07">
      <w:pPr>
        <w:pStyle w:val="2"/>
        <w:shd w:val="clear" w:color="auto"/>
        <w:snapToGrid w:val="0"/>
        <w:spacing w:line="360" w:lineRule="auto"/>
        <w:ind w:firstLine="2342" w:firstLineChars="976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39423361">
      <w:pPr>
        <w:ind w:firstLine="2400" w:firstLineChars="1000"/>
      </w:pPr>
      <w:bookmarkStart w:id="1" w:name="_GoBack"/>
      <w:bookmarkEnd w:id="1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15868F9"/>
    <w:rsid w:val="61586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2025-09-26T07:05:00Z</dcterms:created>
  <dc:creator>doit</dc:creator>
  <cp:lastModifiedBy>doit</cp:lastModifiedBy>
  <dcterms:modified xsi:type="dcterms:W3CDTF">2025-09-26T07:05:45Z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C20442839FA14BF089FF0CC1F0B3B34D_11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