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版本号：SXZY2025-ZC012-CS20251014002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原未央区第一人民医院内居民设施设备迁改工程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SXZY2025-ZC012-CS</w:t>
      </w:r>
      <w:r>
        <w:br/>
      </w:r>
      <w:r>
        <w:br/>
      </w:r>
      <w:r>
        <w:br/>
      </w:r>
    </w:p>
    <w:p>
      <w:pPr>
        <w:pStyle w:val="null3"/>
        <w:jc w:val="center"/>
        <w:outlineLvl w:val="2"/>
      </w:pPr>
      <w:r>
        <w:rPr>
          <w:rFonts w:ascii="仿宋_GB2312" w:hAnsi="仿宋_GB2312" w:cs="仿宋_GB2312" w:eastAsia="仿宋_GB2312"/>
          <w:sz w:val="28"/>
          <w:b/>
        </w:rPr>
        <w:t>西安经济技术开发区自然资源和规划局</w:t>
      </w:r>
    </w:p>
    <w:p>
      <w:pPr>
        <w:pStyle w:val="null3"/>
        <w:jc w:val="center"/>
        <w:outlineLvl w:val="2"/>
      </w:pPr>
      <w:r>
        <w:rPr>
          <w:rFonts w:ascii="仿宋_GB2312" w:hAnsi="仿宋_GB2312" w:cs="仿宋_GB2312" w:eastAsia="仿宋_GB2312"/>
          <w:sz w:val="28"/>
          <w:b/>
        </w:rPr>
        <w:t>陕西中易项目管理有限公司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陕西中易项目管理有限公司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西安经济技术开发区自然资源和规划局</w:t>
      </w:r>
      <w:r>
        <w:rPr>
          <w:rFonts w:ascii="仿宋_GB2312" w:hAnsi="仿宋_GB2312" w:cs="仿宋_GB2312" w:eastAsia="仿宋_GB2312"/>
        </w:rPr>
        <w:t>委托，拟对</w:t>
      </w:r>
      <w:r>
        <w:rPr>
          <w:rFonts w:ascii="仿宋_GB2312" w:hAnsi="仿宋_GB2312" w:cs="仿宋_GB2312" w:eastAsia="仿宋_GB2312"/>
        </w:rPr>
        <w:t>原未央区第一人民医院内居民设施设备迁改工程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SXZY2025-ZC012-CS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原未央区第一人民医院内居民设施设备迁改工程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原未央区第一人民医院内电缆敷设、自来水改造及箱变等改造。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采购包1（原未央区第一人民医院内居民设施设备迁改工程）：属于专门面向中小企业采购。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书/法定代表人身份证明：法定代表人(负责人)授权书(附法定代表人(负责人)、被授权人身份证复印件)及被授权人身份证；法定代表人(负责人)直接参加投标，须提供法定代表人(负责人)身份证明。</w:t>
      </w:r>
    </w:p>
    <w:p>
      <w:pPr>
        <w:pStyle w:val="null3"/>
      </w:pPr>
      <w:r>
        <w:rPr>
          <w:rFonts w:ascii="仿宋_GB2312" w:hAnsi="仿宋_GB2312" w:cs="仿宋_GB2312" w:eastAsia="仿宋_GB2312"/>
        </w:rPr>
        <w:t>2、资质等级要求：供应商须具备建设行政主管部门颁发的市政公用工程施工总承包三级及以上(含三级)资质，并具有有效的安全生产许可证。</w:t>
      </w:r>
    </w:p>
    <w:p>
      <w:pPr>
        <w:pStyle w:val="null3"/>
      </w:pPr>
      <w:r>
        <w:rPr>
          <w:rFonts w:ascii="仿宋_GB2312" w:hAnsi="仿宋_GB2312" w:cs="仿宋_GB2312" w:eastAsia="仿宋_GB2312"/>
        </w:rPr>
        <w:t>3、拟派项目经理：拟派项目经理为本单位在册具备市政公用工程专业二级及以上注册建造师证书（含二级），并具备安全生产考核合格证书，且无在建工程（提供无在建工程承诺书） 。</w:t>
      </w:r>
    </w:p>
    <w:p>
      <w:pPr>
        <w:pStyle w:val="null3"/>
      </w:pPr>
      <w:r>
        <w:rPr>
          <w:rFonts w:ascii="仿宋_GB2312" w:hAnsi="仿宋_GB2312" w:cs="仿宋_GB2312" w:eastAsia="仿宋_GB2312"/>
        </w:rPr>
        <w:t>4、信用记录截图：供应商不得为“信用中国”网站(https://www.creditchina.gov.cn/)中列入“严重失信主体名单”和“重大税收违法失信主体”的供应商，不得为中国政府采购网(https://www.ccgp.gov.cn/)政府采购“严重违法失信行为记录名单”中被财政部门禁止参加政府采购活动的供应商;(信用记录由采购代理机构在资格审查阶段前通过互联网或者相关系统查询，对列入严重失信主体名单、重大税收违法失信主体、政府采购严重违法失信行为记录名单的供应商，采购人和采购代理机构将拒绝其参与政府采购活动，查询结果以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凤城十二路凯瑞大厦F座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029-89820328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陕西省西安市经济技术开发区凤城七路SCS赛高广场C座13层1303室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029-89291292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金老师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采购包1：879,900.00元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文件中服务类收费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西安经济技术开发区自然资源和规划局</w:t>
      </w:r>
      <w:r>
        <w:rPr>
          <w:rFonts w:ascii="仿宋_GB2312" w:hAnsi="仿宋_GB2312" w:cs="仿宋_GB2312" w:eastAsia="仿宋_GB2312"/>
        </w:rPr>
        <w:t>和</w:t>
      </w:r>
      <w:r>
        <w:rPr>
          <w:rFonts w:ascii="仿宋_GB2312" w:hAnsi="仿宋_GB2312" w:cs="仿宋_GB2312" w:eastAsia="仿宋_GB2312"/>
        </w:rPr>
        <w:t>陕西中易项目管理有限公司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按时按质按量安标准完成。</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联系人：吴工</w:t>
      </w:r>
    </w:p>
    <w:p>
      <w:pPr>
        <w:pStyle w:val="null3"/>
      </w:pPr>
      <w:r>
        <w:rPr>
          <w:rFonts w:ascii="仿宋_GB2312" w:hAnsi="仿宋_GB2312" w:cs="仿宋_GB2312" w:eastAsia="仿宋_GB2312"/>
        </w:rPr>
        <w:t>联系电话：02989291292</w:t>
      </w:r>
    </w:p>
    <w:p>
      <w:pPr>
        <w:pStyle w:val="null3"/>
      </w:pPr>
      <w:r>
        <w:rPr>
          <w:rFonts w:ascii="仿宋_GB2312" w:hAnsi="仿宋_GB2312" w:cs="仿宋_GB2312" w:eastAsia="仿宋_GB2312"/>
        </w:rPr>
        <w:t>地址：陕西省西安市经济技术开发区凤城七路SCS赛高广场C座13层1303室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879,900.00</w:t>
      </w:r>
    </w:p>
    <w:p>
      <w:pPr>
        <w:pStyle w:val="null3"/>
      </w:pPr>
      <w:r>
        <w:rPr>
          <w:rFonts w:ascii="仿宋_GB2312" w:hAnsi="仿宋_GB2312" w:cs="仿宋_GB2312" w:eastAsia="仿宋_GB2312"/>
        </w:rPr>
        <w:t>采购包最高限价（元）: 879,900.00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设施设备迁改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879,900.00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标的名称：设施设备迁改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工程质量达到国家及行业现行技术规范标准，符合国家及行业验收合格标准。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 2.提供2024年度的财务审计报告(至少包括资产负债表和利润表，成立时间至提交投标文件截止时间不足一年的可提供成立后任意时段的资产负债表)，或其基本存款账户开户银行出具的资信证明及基本存款账户开户许可证(基本存款账户信息); 3.提供2024年10月至今已缴纳的至少一个月的纳税证明或完税证明(任意税种)，依法免税的单位应提供相关证明材料; 4.提供2024年10月至今已缴存的至少一个月的社会保障资金缴存单据或社保机构开具的社会保险参保缴费情况证明，依法不需要缴纳社会保障资金的单位应提供相关证明材料;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法定代表人(负责人)授权书/法定代表人身份证明</w:t>
            </w:r>
          </w:p>
        </w:tc>
        <w:tc>
          <w:tcPr>
            <w:tcW w:type="dxa" w:w="3322"/>
          </w:tcPr>
          <w:p>
            <w:pPr>
              <w:pStyle w:val="null3"/>
            </w:pPr>
            <w:r>
              <w:rPr>
                <w:rFonts w:ascii="仿宋_GB2312" w:hAnsi="仿宋_GB2312" w:cs="仿宋_GB2312" w:eastAsia="仿宋_GB2312"/>
              </w:rPr>
              <w:t>法定代表人(负责人)授权书(附法定代表人(负责人)、被授权人身份证复印件)及被授权人身份证；法定代表人(负责人)直接参加投标，须提供法定代表人(负责人)身份证明。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资质等级要求</w:t>
            </w:r>
          </w:p>
        </w:tc>
        <w:tc>
          <w:tcPr>
            <w:tcW w:type="dxa" w:w="3322"/>
          </w:tcPr>
          <w:p>
            <w:pPr>
              <w:pStyle w:val="null3"/>
            </w:pPr>
            <w:r>
              <w:rPr>
                <w:rFonts w:ascii="仿宋_GB2312" w:hAnsi="仿宋_GB2312" w:cs="仿宋_GB2312" w:eastAsia="仿宋_GB2312"/>
              </w:rPr>
              <w:t>供应商须具备建设行政主管部门颁发的市政公用工程施工总承包三级及以上(含三级)资质，并具有有效的安全生产许可证。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拟派项目经理为本单位在册具备市政公用工程专业二级及以上注册建造师证书（含二级），并具备安全生产考核合格证书，且无在建工程（提供无在建工程承诺书） 。</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信用记录截图</w:t>
            </w:r>
          </w:p>
        </w:tc>
        <w:tc>
          <w:tcPr>
            <w:tcW w:type="dxa" w:w="3322"/>
          </w:tcPr>
          <w:p>
            <w:pPr>
              <w:pStyle w:val="null3"/>
            </w:pPr>
            <w:r>
              <w:rPr>
                <w:rFonts w:ascii="仿宋_GB2312" w:hAnsi="仿宋_GB2312" w:cs="仿宋_GB2312" w:eastAsia="仿宋_GB2312"/>
              </w:rPr>
              <w:t>供应商不得为“信用中国”网站(https://www.creditchina.gov.cn/)中列入“严重失信主体名单”和“重大税收违法失信主体”的供应商，不得为中国政府采购网(https://www.ccgp.gov.cn/)政府采购“严重违法失信行为记录名单”中被财政部门禁止参加政府采购活动的供应商;(信用记录由采购代理机构在资格审查阶段前通过互联网或者相关系统查询，对列入严重失信主体名单、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磋商响应文件上法定代表人或其授权代表人的签字齐全并加盖电子公章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供应商应提交的相关资格证明材料.docx 项目管理机构组成表 施工方案.docx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针对本项目制定的施工方案、施工准备、工艺规范、对项目理解程度。 ①方案可行性高，专业性强，充分满足采购需求，得8分； ②方案内容一般、基本可行，得5分； ③方案内容较差，得2分；未提供的不得分。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针对本项目安排的项目经理和项目部岗位、专业、分工组。 ①项目经理和项目部组成配置合理、针对性强，与项目需求的吻合程度高，得8分； ② 项目经理和项目部组成综合实力与项目需求的吻合程度一般，得5分； ③项目经理和项目部组成较差，得2分；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针对本项目质量技术组织措施方案，质量保证体系是否完备周全，保障措施及政策建议是否切合实际、协调配套、具有可操作性，内容包含：质量目标管理体系、施工质量的检验制度、确保质量的技术组织措施。 ①质量控制有总目标，质量保障体系措施完善具有可行性、对各阶段的质量进行了准确的目标分解、对质量控制各分解目标有明确的控制点且合理，目标明确且资料清单内容完整，得8分； ②方案较完整，质量保证措施内容明确，可基本保证质量保证需求，得5分； ③方案有明显缺漏项，不能完全保证服务期内质量保证需求，可操作性较差，得2分； 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供应商针对本项目编制完整的确保安全生产的技术组织措施。 ①安全生产管理制度完善、合理充分满足要求，能够加强安全生产教育：内容完整、合理、针对性强，得8分； ②基本满足施工要求，得5分； ③方案较差，得2分；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确保工期的技术组织措施及施工进度计划</w:t>
            </w:r>
          </w:p>
        </w:tc>
        <w:tc>
          <w:tcPr>
            <w:tcW w:type="dxa" w:w="2492"/>
          </w:tcPr>
          <w:p>
            <w:pPr>
              <w:pStyle w:val="null3"/>
            </w:pPr>
            <w:r>
              <w:rPr>
                <w:rFonts w:ascii="仿宋_GB2312" w:hAnsi="仿宋_GB2312" w:cs="仿宋_GB2312" w:eastAsia="仿宋_GB2312"/>
              </w:rPr>
              <w:t>根据供应商针对本项目提供的施工进度计划方案、项目进度安排进行综合评分；内容包含：进度计划施工图、进度计划表、工期保证措施。 ①节点工期控制计划满足工期要求，切合本项目实际情况，详细的工作计划和进度安排，具有时效性。工期控制连贯、清晰合理、节点工期控制计划满足工期要求。提出步骤清晰、合理的方案，得8分； ②方案能够紧贴项目实际情况，内容科学合理且内容可行性、合理性一般，内容较详尽，得5分； ③方案较差计，不贴合项目需求，得2分；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确保文明施工及环境保护的措施</w:t>
            </w:r>
          </w:p>
        </w:tc>
        <w:tc>
          <w:tcPr>
            <w:tcW w:type="dxa" w:w="2492"/>
          </w:tcPr>
          <w:p>
            <w:pPr>
              <w:pStyle w:val="null3"/>
            </w:pPr>
            <w:r>
              <w:rPr>
                <w:rFonts w:ascii="仿宋_GB2312" w:hAnsi="仿宋_GB2312" w:cs="仿宋_GB2312" w:eastAsia="仿宋_GB2312"/>
              </w:rPr>
              <w:t>供应商针对本项目编制完整的文明施工措施，内容包含：文明施工及环境保护管理目标及技术措施、文明施工现场管理、材料管理、扰民措施、环境保护及治污减霾措施。 ①内容完整、合理、针对性强，得6分； 基本满足施工要求，得4分； ③方案较差，得2分；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针对本项目的施工机械配备和材料投入计划。 ①配备齐全、针对性强，得4分； ②配备较差，得2分；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新技术新产品新工艺新材料的应用</w:t>
            </w:r>
          </w:p>
        </w:tc>
        <w:tc>
          <w:tcPr>
            <w:tcW w:type="dxa" w:w="2492"/>
          </w:tcPr>
          <w:p>
            <w:pPr>
              <w:pStyle w:val="null3"/>
            </w:pPr>
            <w:r>
              <w:rPr>
                <w:rFonts w:ascii="仿宋_GB2312" w:hAnsi="仿宋_GB2312" w:cs="仿宋_GB2312" w:eastAsia="仿宋_GB2312"/>
              </w:rPr>
              <w:t>针对本项目的新技术新产品新工艺新材料的应用。 ①施工工艺技术、技术参数、工艺流程、施工方法详尽、合理、针对性强，得4分； ②施工工艺技术、技术参数、工艺流程、施工方法基本满足施工需求、较为合理、针对性较强，得2分；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结合本项目的实际，供应商应依据国家相关规定对工程质量编制保修方案，工程验收方案、维修措施、保修责任及保修承诺。 ①内容完整、合理、针对性强，得 5分； ②基本满足施工要求，得3分； ③方案较差，得1分；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针对突发事件的应急处理方案，提供相应的预案或保证措施： ①方案内容完整、合理、针对性强，得5分； ②基本满足施工要求，得3分； ③方案较差，得1分；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具有2022年1月1日至今的类似项目业绩合同（以合同签订日期为准），每提供一份得2分，最高得6分。投标响应文件中附有说明其业绩证明材料（业绩以合同为依据）。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详见附件：合同示例范本.docx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