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B1BB68">
      <w:pPr>
        <w:pBdr>
          <w:top w:val="none" w:color="auto" w:sz="0" w:space="0"/>
          <w:left w:val="none" w:color="auto" w:sz="0" w:space="0"/>
          <w:bottom w:val="none" w:color="auto" w:sz="0" w:space="0"/>
          <w:right w:val="none" w:color="auto" w:sz="0" w:space="0"/>
          <w:between w:val="none" w:color="auto" w:sz="0" w:space="0"/>
        </w:pBdr>
        <w:rPr>
          <w:rFonts w:hint="eastAsia" w:ascii="黑体" w:hAnsi="黑体" w:eastAsia="黑体" w:cs="黑体"/>
          <w:spacing w:val="7"/>
          <w:sz w:val="32"/>
          <w:szCs w:val="32"/>
          <w:u w:val="none" w:color="auto"/>
        </w:rPr>
      </w:pPr>
    </w:p>
    <w:p w14:paraId="4FABD6CB">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N/>
        <w:bidi w:val="0"/>
        <w:adjustRightInd/>
        <w:snapToGrid/>
        <w:jc w:val="center"/>
        <w:outlineLvl w:val="9"/>
        <w:rPr>
          <w:rFonts w:hint="eastAsia" w:ascii="黑体" w:hAnsi="黑体" w:eastAsia="黑体" w:cs="黑体"/>
          <w:spacing w:val="7"/>
          <w:sz w:val="44"/>
          <w:szCs w:val="44"/>
          <w:u w:val="none" w:color="auto"/>
        </w:rPr>
      </w:pPr>
    </w:p>
    <w:p w14:paraId="7A81CB18">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N/>
        <w:bidi w:val="0"/>
        <w:adjustRightInd/>
        <w:snapToGrid/>
        <w:jc w:val="center"/>
        <w:outlineLvl w:val="9"/>
        <w:rPr>
          <w:rFonts w:hint="eastAsia" w:ascii="黑体" w:hAnsi="黑体" w:eastAsia="黑体" w:cs="黑体"/>
          <w:color w:val="0000FF"/>
          <w:spacing w:val="7"/>
          <w:sz w:val="44"/>
          <w:szCs w:val="44"/>
          <w:u w:val="none" w:color="auto"/>
        </w:rPr>
      </w:pPr>
    </w:p>
    <w:p w14:paraId="6AB1E62C">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N/>
        <w:bidi w:val="0"/>
        <w:adjustRightInd/>
        <w:snapToGrid/>
        <w:jc w:val="center"/>
        <w:outlineLvl w:val="9"/>
        <w:rPr>
          <w:rFonts w:hint="eastAsia" w:ascii="黑体" w:hAnsi="黑体" w:eastAsia="黑体" w:cs="黑体"/>
          <w:color w:val="000000" w:themeColor="text1"/>
          <w:spacing w:val="7"/>
          <w:sz w:val="44"/>
          <w:szCs w:val="44"/>
          <w:u w:val="none" w:color="auto"/>
          <w14:textFill>
            <w14:solidFill>
              <w14:schemeClr w14:val="tx1"/>
            </w14:solidFill>
          </w14:textFill>
        </w:rPr>
      </w:pPr>
      <w:r>
        <w:rPr>
          <w:rFonts w:hint="eastAsia" w:ascii="黑体" w:hAnsi="黑体" w:eastAsia="黑体" w:cs="黑体"/>
          <w:color w:val="000000" w:themeColor="text1"/>
          <w:spacing w:val="7"/>
          <w:sz w:val="44"/>
          <w:szCs w:val="44"/>
          <w:u w:val="none" w:color="auto"/>
          <w:lang w:val="en-US" w:eastAsia="zh-CN"/>
          <w14:textFill>
            <w14:solidFill>
              <w14:schemeClr w14:val="tx1"/>
            </w14:solidFill>
          </w14:textFill>
        </w:rPr>
        <w:t>2025年</w:t>
      </w:r>
      <w:r>
        <w:rPr>
          <w:rFonts w:hint="eastAsia" w:ascii="黑体" w:hAnsi="黑体" w:eastAsia="黑体" w:cs="黑体"/>
          <w:color w:val="000000" w:themeColor="text1"/>
          <w:spacing w:val="7"/>
          <w:sz w:val="44"/>
          <w:szCs w:val="44"/>
          <w:u w:val="none" w:color="auto"/>
          <w14:textFill>
            <w14:solidFill>
              <w14:schemeClr w14:val="tx1"/>
            </w14:solidFill>
          </w14:textFill>
        </w:rPr>
        <w:t>城管执法制式服装采购项目</w:t>
      </w:r>
    </w:p>
    <w:p w14:paraId="27CFB3DC">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N/>
        <w:bidi w:val="0"/>
        <w:adjustRightInd/>
        <w:snapToGrid/>
        <w:jc w:val="center"/>
        <w:outlineLvl w:val="9"/>
        <w:rPr>
          <w:rFonts w:hint="eastAsia" w:ascii="黑体" w:hAnsi="黑体" w:eastAsia="黑体" w:cs="黑体"/>
          <w:color w:val="000000" w:themeColor="text1"/>
          <w:spacing w:val="7"/>
          <w:sz w:val="44"/>
          <w:szCs w:val="44"/>
          <w:u w:val="none" w:color="auto"/>
          <w:lang w:val="en-US" w:eastAsia="zh-CN"/>
          <w14:textFill>
            <w14:solidFill>
              <w14:schemeClr w14:val="tx1"/>
            </w14:solidFill>
          </w14:textFill>
        </w:rPr>
      </w:pPr>
      <w:r>
        <w:rPr>
          <w:rFonts w:hint="eastAsia" w:ascii="黑体" w:hAnsi="黑体" w:eastAsia="黑体" w:cs="黑体"/>
          <w:color w:val="000000" w:themeColor="text1"/>
          <w:spacing w:val="7"/>
          <w:sz w:val="44"/>
          <w:szCs w:val="44"/>
          <w:u w:val="none" w:color="auto"/>
          <w:lang w:val="en-US" w:eastAsia="zh-CN"/>
          <w14:textFill>
            <w14:solidFill>
              <w14:schemeClr w14:val="tx1"/>
            </w14:solidFill>
          </w14:textFill>
        </w:rPr>
        <w:t xml:space="preserve"> </w:t>
      </w:r>
    </w:p>
    <w:p w14:paraId="76D63937">
      <w:pPr>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N/>
        <w:bidi w:val="0"/>
        <w:adjustRightInd/>
        <w:snapToGrid/>
        <w:jc w:val="center"/>
        <w:outlineLvl w:val="9"/>
        <w:rPr>
          <w:rFonts w:hint="default" w:ascii="黑体" w:hAnsi="黑体" w:eastAsia="黑体" w:cs="黑体"/>
          <w:color w:val="000000" w:themeColor="text1"/>
          <w:spacing w:val="7"/>
          <w:sz w:val="44"/>
          <w:szCs w:val="44"/>
          <w:u w:val="none" w:color="auto"/>
          <w:lang w:val="en-US" w:eastAsia="zh-CN"/>
          <w14:textFill>
            <w14:solidFill>
              <w14:schemeClr w14:val="tx1"/>
            </w14:solidFill>
          </w14:textFill>
        </w:rPr>
      </w:pPr>
      <w:r>
        <w:rPr>
          <w:rFonts w:hint="eastAsia" w:ascii="黑体" w:hAnsi="黑体" w:eastAsia="黑体" w:cs="黑体"/>
          <w:color w:val="000000" w:themeColor="text1"/>
          <w:spacing w:val="7"/>
          <w:sz w:val="44"/>
          <w:szCs w:val="44"/>
          <w:u w:val="none" w:color="auto"/>
          <w:lang w:val="en-US" w:eastAsia="zh-CN"/>
          <w14:textFill>
            <w14:solidFill>
              <w14:schemeClr w14:val="tx1"/>
            </w14:solidFill>
          </w14:textFill>
        </w:rPr>
        <w:t>采购合同</w:t>
      </w:r>
    </w:p>
    <w:p w14:paraId="76CE55D8">
      <w:pPr>
        <w:keepLines w:val="0"/>
        <w:pageBreakBefore w:val="0"/>
        <w:kinsoku/>
        <w:wordWrap/>
        <w:overflowPunct/>
        <w:topLinePunct w:val="0"/>
        <w:autoSpaceDN/>
        <w:bidi w:val="0"/>
        <w:adjustRightInd/>
        <w:snapToGrid/>
        <w:outlineLvl w:val="9"/>
        <w:rPr>
          <w:rFonts w:hint="eastAsia"/>
          <w:lang w:val="en-US" w:eastAsia="zh-CN"/>
        </w:rPr>
      </w:pPr>
    </w:p>
    <w:p w14:paraId="4DF33CA4">
      <w:pPr>
        <w:keepLines w:val="0"/>
        <w:pageBreakBefore w:val="0"/>
        <w:kinsoku/>
        <w:wordWrap/>
        <w:overflowPunct/>
        <w:topLinePunct w:val="0"/>
        <w:autoSpaceDN/>
        <w:bidi w:val="0"/>
        <w:adjustRightInd/>
        <w:snapToGrid/>
        <w:outlineLvl w:val="9"/>
        <w:rPr>
          <w:rFonts w:hint="eastAsia"/>
          <w:lang w:val="en-US" w:eastAsia="zh-CN"/>
        </w:rPr>
      </w:pPr>
    </w:p>
    <w:p w14:paraId="4A9D1096">
      <w:pPr>
        <w:keepLines w:val="0"/>
        <w:pageBreakBefore w:val="0"/>
        <w:kinsoku/>
        <w:wordWrap/>
        <w:overflowPunct/>
        <w:topLinePunct w:val="0"/>
        <w:autoSpaceDN/>
        <w:bidi w:val="0"/>
        <w:adjustRightInd/>
        <w:snapToGrid/>
        <w:outlineLvl w:val="9"/>
        <w:rPr>
          <w:rFonts w:hint="eastAsia"/>
          <w:lang w:val="en-US" w:eastAsia="zh-CN"/>
        </w:rPr>
      </w:pPr>
    </w:p>
    <w:p w14:paraId="3DE6082E">
      <w:pPr>
        <w:pStyle w:val="2"/>
        <w:rPr>
          <w:rFonts w:hint="eastAsia"/>
          <w:lang w:val="en-US" w:eastAsia="zh-CN"/>
        </w:rPr>
      </w:pPr>
    </w:p>
    <w:p w14:paraId="3E527477">
      <w:pPr>
        <w:keepLines w:val="0"/>
        <w:pageBreakBefore w:val="0"/>
        <w:kinsoku/>
        <w:wordWrap/>
        <w:overflowPunct/>
        <w:topLinePunct w:val="0"/>
        <w:autoSpaceDN/>
        <w:bidi w:val="0"/>
        <w:adjustRightInd/>
        <w:snapToGrid/>
        <w:outlineLvl w:val="9"/>
        <w:rPr>
          <w:rFonts w:hint="eastAsia"/>
          <w:lang w:val="en-US" w:eastAsia="zh-CN"/>
        </w:rPr>
      </w:pPr>
    </w:p>
    <w:p w14:paraId="1EE714EF">
      <w:pPr>
        <w:keepLines w:val="0"/>
        <w:pageBreakBefore w:val="0"/>
        <w:kinsoku/>
        <w:wordWrap/>
        <w:overflowPunct/>
        <w:topLinePunct w:val="0"/>
        <w:autoSpaceDN/>
        <w:bidi w:val="0"/>
        <w:adjustRightInd/>
        <w:snapToGrid/>
        <w:outlineLvl w:val="9"/>
        <w:rPr>
          <w:rFonts w:hint="eastAsia"/>
          <w:lang w:val="en-US" w:eastAsia="zh-CN"/>
        </w:rPr>
      </w:pPr>
    </w:p>
    <w:p w14:paraId="4DB349AF">
      <w:pPr>
        <w:keepLines w:val="0"/>
        <w:pageBreakBefore w:val="0"/>
        <w:kinsoku/>
        <w:wordWrap/>
        <w:overflowPunct/>
        <w:topLinePunct w:val="0"/>
        <w:autoSpaceDN/>
        <w:bidi w:val="0"/>
        <w:adjustRightInd/>
        <w:snapToGrid/>
        <w:outlineLvl w:val="9"/>
        <w:rPr>
          <w:rFonts w:hint="eastAsia"/>
          <w:lang w:val="en-US" w:eastAsia="zh-CN"/>
        </w:rPr>
      </w:pPr>
    </w:p>
    <w:p w14:paraId="76A9AB91">
      <w:pPr>
        <w:keepLines w:val="0"/>
        <w:pageBreakBefore w:val="0"/>
        <w:kinsoku/>
        <w:wordWrap/>
        <w:overflowPunct/>
        <w:topLinePunct w:val="0"/>
        <w:autoSpaceDN/>
        <w:bidi w:val="0"/>
        <w:adjustRightInd/>
        <w:snapToGrid/>
        <w:outlineLvl w:val="9"/>
        <w:rPr>
          <w:rFonts w:hint="eastAsia"/>
          <w:lang w:val="en-US" w:eastAsia="zh-CN"/>
        </w:rPr>
      </w:pPr>
    </w:p>
    <w:p w14:paraId="62DE3F55">
      <w:pPr>
        <w:keepLines w:val="0"/>
        <w:pageBreakBefore w:val="0"/>
        <w:kinsoku/>
        <w:wordWrap/>
        <w:overflowPunct/>
        <w:topLinePunct w:val="0"/>
        <w:autoSpaceDN/>
        <w:bidi w:val="0"/>
        <w:adjustRightInd/>
        <w:snapToGrid/>
        <w:outlineLvl w:val="9"/>
        <w:rPr>
          <w:rFonts w:hint="eastAsia"/>
          <w:lang w:val="en-US" w:eastAsia="zh-CN"/>
        </w:rPr>
      </w:pPr>
    </w:p>
    <w:p w14:paraId="4E977CDD">
      <w:pPr>
        <w:keepLines w:val="0"/>
        <w:pageBreakBefore w:val="0"/>
        <w:kinsoku/>
        <w:wordWrap/>
        <w:overflowPunct/>
        <w:topLinePunct w:val="0"/>
        <w:autoSpaceDN/>
        <w:bidi w:val="0"/>
        <w:adjustRightInd/>
        <w:snapToGrid/>
        <w:outlineLvl w:val="9"/>
        <w:rPr>
          <w:rFonts w:hint="eastAsia"/>
          <w:lang w:val="en-US" w:eastAsia="zh-CN"/>
        </w:rPr>
      </w:pPr>
    </w:p>
    <w:p w14:paraId="5D710C65">
      <w:pPr>
        <w:keepLines w:val="0"/>
        <w:pageBreakBefore w:val="0"/>
        <w:kinsoku/>
        <w:wordWrap/>
        <w:overflowPunct/>
        <w:topLinePunct w:val="0"/>
        <w:autoSpaceDN/>
        <w:bidi w:val="0"/>
        <w:adjustRightInd/>
        <w:snapToGrid/>
        <w:outlineLvl w:val="9"/>
        <w:rPr>
          <w:rFonts w:hint="eastAsia"/>
          <w:lang w:val="en-US" w:eastAsia="zh-CN"/>
        </w:rPr>
      </w:pPr>
    </w:p>
    <w:p w14:paraId="70E67148">
      <w:pPr>
        <w:keepLines w:val="0"/>
        <w:pageBreakBefore w:val="0"/>
        <w:kinsoku/>
        <w:wordWrap/>
        <w:overflowPunct/>
        <w:topLinePunct w:val="0"/>
        <w:autoSpaceDN/>
        <w:bidi w:val="0"/>
        <w:adjustRightInd/>
        <w:snapToGrid/>
        <w:outlineLvl w:val="9"/>
        <w:rPr>
          <w:rFonts w:hint="eastAsia" w:ascii="黑体" w:hAnsi="黑体" w:eastAsia="黑体" w:cs="黑体"/>
          <w:sz w:val="32"/>
          <w:szCs w:val="32"/>
          <w:lang w:val="en-US" w:eastAsia="zh-CN"/>
        </w:rPr>
      </w:pPr>
    </w:p>
    <w:p w14:paraId="46DFA28F">
      <w:pPr>
        <w:keepLines w:val="0"/>
        <w:pageBreakBefore w:val="0"/>
        <w:kinsoku/>
        <w:wordWrap/>
        <w:overflowPunct/>
        <w:topLinePunct w:val="0"/>
        <w:autoSpaceDN/>
        <w:bidi w:val="0"/>
        <w:adjustRightInd/>
        <w:snapToGrid/>
        <w:outlineLvl w:val="9"/>
        <w:rPr>
          <w:rFonts w:hint="eastAsia" w:ascii="黑体" w:hAnsi="黑体" w:eastAsia="黑体" w:cs="黑体"/>
          <w:sz w:val="32"/>
          <w:szCs w:val="32"/>
          <w:lang w:val="en-US" w:eastAsia="zh-CN"/>
        </w:rPr>
      </w:pPr>
    </w:p>
    <w:p w14:paraId="71823666">
      <w:pPr>
        <w:keepLines w:val="0"/>
        <w:pageBreakBefore w:val="0"/>
        <w:kinsoku/>
        <w:wordWrap/>
        <w:overflowPunct/>
        <w:topLinePunct w:val="0"/>
        <w:autoSpaceDN/>
        <w:bidi w:val="0"/>
        <w:adjustRightInd/>
        <w:snapToGrid/>
        <w:spacing w:line="480" w:lineRule="auto"/>
        <w:ind w:firstLine="640" w:firstLineChars="200"/>
        <w:outlineLvl w:val="9"/>
        <w:rPr>
          <w:rFonts w:hint="eastAsia" w:ascii="黑体" w:hAnsi="黑体" w:eastAsia="黑体" w:cs="黑体"/>
          <w:sz w:val="32"/>
          <w:szCs w:val="32"/>
          <w:lang w:val="en-US" w:eastAsia="zh-CN"/>
        </w:rPr>
      </w:pPr>
    </w:p>
    <w:p w14:paraId="4EFD17DC">
      <w:pPr>
        <w:keepLines w:val="0"/>
        <w:pageBreakBefore w:val="0"/>
        <w:kinsoku/>
        <w:wordWrap/>
        <w:overflowPunct/>
        <w:topLinePunct w:val="0"/>
        <w:autoSpaceDN/>
        <w:bidi w:val="0"/>
        <w:adjustRightInd/>
        <w:snapToGrid/>
        <w:spacing w:line="480" w:lineRule="auto"/>
        <w:outlineLvl w:val="9"/>
        <w:rPr>
          <w:rFonts w:hint="default" w:ascii="黑体" w:hAnsi="黑体" w:eastAsia="黑体" w:cs="黑体"/>
          <w:sz w:val="32"/>
          <w:szCs w:val="32"/>
          <w:u w:val="single"/>
          <w:lang w:val="en-US" w:eastAsia="zh-CN"/>
        </w:rPr>
      </w:pPr>
      <w:r>
        <w:rPr>
          <w:rFonts w:hint="eastAsia" w:ascii="黑体" w:hAnsi="黑体" w:eastAsia="黑体" w:cs="黑体"/>
          <w:sz w:val="32"/>
          <w:szCs w:val="32"/>
          <w:lang w:val="en-US" w:eastAsia="zh-CN"/>
        </w:rPr>
        <w:t>采购人：</w:t>
      </w:r>
      <w:r>
        <w:rPr>
          <w:rFonts w:hint="eastAsia" w:ascii="黑体" w:hAnsi="黑体" w:eastAsia="黑体" w:cs="黑体"/>
          <w:sz w:val="32"/>
          <w:szCs w:val="32"/>
          <w:u w:val="single"/>
          <w:lang w:val="en-US" w:eastAsia="zh-CN"/>
        </w:rPr>
        <w:t xml:space="preserve">                                        </w:t>
      </w:r>
    </w:p>
    <w:p w14:paraId="124FACEA">
      <w:pPr>
        <w:keepLines w:val="0"/>
        <w:pageBreakBefore w:val="0"/>
        <w:kinsoku/>
        <w:wordWrap/>
        <w:overflowPunct/>
        <w:topLinePunct w:val="0"/>
        <w:autoSpaceDN/>
        <w:bidi w:val="0"/>
        <w:adjustRightInd/>
        <w:snapToGrid/>
        <w:spacing w:line="480" w:lineRule="auto"/>
        <w:outlineLvl w:val="9"/>
        <w:rPr>
          <w:rFonts w:hint="default" w:ascii="黑体" w:hAnsi="黑体" w:eastAsia="黑体" w:cs="黑体"/>
          <w:sz w:val="32"/>
          <w:szCs w:val="32"/>
          <w:u w:val="single"/>
          <w:lang w:val="en-US" w:eastAsia="zh-CN"/>
        </w:rPr>
      </w:pPr>
      <w:r>
        <w:rPr>
          <w:rFonts w:hint="eastAsia" w:ascii="黑体" w:hAnsi="黑体" w:eastAsia="黑体" w:cs="黑体"/>
          <w:sz w:val="32"/>
          <w:szCs w:val="32"/>
          <w:lang w:val="en-US" w:eastAsia="zh-CN"/>
        </w:rPr>
        <w:t>供应商：</w:t>
      </w:r>
      <w:r>
        <w:rPr>
          <w:rFonts w:hint="eastAsia" w:ascii="黑体" w:hAnsi="黑体" w:eastAsia="黑体" w:cs="黑体"/>
          <w:sz w:val="32"/>
          <w:szCs w:val="32"/>
          <w:u w:val="single"/>
          <w:lang w:val="en-US" w:eastAsia="zh-CN"/>
        </w:rPr>
        <w:t xml:space="preserve">                                        </w:t>
      </w:r>
    </w:p>
    <w:p w14:paraId="427F84CD">
      <w:pPr>
        <w:rPr>
          <w:rFonts w:hint="default" w:ascii="黑体" w:hAnsi="黑体" w:eastAsia="黑体" w:cs="黑体"/>
          <w:sz w:val="32"/>
          <w:szCs w:val="32"/>
          <w:u w:val="single"/>
          <w:lang w:val="en-US" w:eastAsia="zh-CN"/>
        </w:rPr>
      </w:pPr>
      <w:r>
        <w:rPr>
          <w:rFonts w:hint="default" w:ascii="黑体" w:hAnsi="黑体" w:eastAsia="黑体" w:cs="黑体"/>
          <w:sz w:val="32"/>
          <w:szCs w:val="32"/>
          <w:u w:val="single"/>
          <w:lang w:val="en-US" w:eastAsia="zh-CN"/>
        </w:rPr>
        <w:br w:type="page"/>
      </w:r>
    </w:p>
    <w:p w14:paraId="69FCCBCF">
      <w:pPr>
        <w:keepNext w:val="0"/>
        <w:keepLines w:val="0"/>
        <w:pageBreakBefore w:val="0"/>
        <w:widowControl w:val="0"/>
        <w:kinsoku/>
        <w:wordWrap/>
        <w:overflowPunct/>
        <w:topLinePunct w:val="0"/>
        <w:autoSpaceDE/>
        <w:autoSpaceDN/>
        <w:bidi w:val="0"/>
        <w:adjustRightInd/>
        <w:snapToGrid/>
        <w:spacing w:line="360" w:lineRule="exact"/>
        <w:ind w:firstLine="562" w:firstLineChars="200"/>
        <w:jc w:val="center"/>
        <w:textAlignment w:val="auto"/>
        <w:outlineLvl w:val="9"/>
        <w:rPr>
          <w:rFonts w:hint="eastAsia" w:ascii="宋体" w:hAnsi="宋体" w:eastAsia="宋体" w:cs="宋体"/>
          <w:b/>
          <w:bCs/>
          <w:color w:val="auto"/>
          <w:kern w:val="2"/>
          <w:sz w:val="28"/>
          <w:szCs w:val="28"/>
          <w:lang w:val="en-US" w:eastAsia="zh-CN" w:bidi="ar-SA"/>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14:paraId="1CFCD758">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合同文本</w:t>
      </w:r>
    </w:p>
    <w:p w14:paraId="1DD3A09E">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outlineLvl w:val="9"/>
        <w:rPr>
          <w:rFonts w:hint="eastAsia" w:ascii="宋体" w:hAnsi="宋体" w:eastAsia="宋体" w:cs="宋体"/>
          <w:b/>
          <w:bCs/>
          <w:color w:val="auto"/>
          <w:kern w:val="2"/>
          <w:sz w:val="28"/>
          <w:szCs w:val="28"/>
          <w:lang w:val="en-US" w:eastAsia="zh-CN" w:bidi="ar-SA"/>
        </w:rPr>
      </w:pPr>
    </w:p>
    <w:p w14:paraId="0A83524E">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b/>
          <w:bCs/>
          <w:color w:val="auto"/>
          <w:kern w:val="2"/>
          <w:sz w:val="24"/>
          <w:szCs w:val="24"/>
          <w:lang w:val="en-US" w:eastAsia="zh-CN" w:bidi="ar-SA"/>
        </w:rPr>
      </w:pPr>
      <w:r>
        <w:rPr>
          <w:rFonts w:hint="eastAsia" w:asciiTheme="minorEastAsia" w:hAnsiTheme="minorEastAsia" w:eastAsiaTheme="minorEastAsia" w:cstheme="minorEastAsia"/>
          <w:b/>
          <w:bCs/>
          <w:color w:val="auto"/>
          <w:kern w:val="2"/>
          <w:sz w:val="24"/>
          <w:szCs w:val="24"/>
          <w:lang w:val="en-US" w:eastAsia="zh-CN" w:bidi="ar-SA"/>
        </w:rPr>
        <w:t>采购人（甲方）：</w:t>
      </w:r>
    </w:p>
    <w:p w14:paraId="0310623B">
      <w:pPr>
        <w:pageBreakBefore w:val="0"/>
        <w:widowControl w:val="0"/>
        <w:kinsoku/>
        <w:wordWrap/>
        <w:overflowPunct/>
        <w:topLinePunct w:val="0"/>
        <w:autoSpaceDE/>
        <w:autoSpaceDN/>
        <w:bidi w:val="0"/>
        <w:adjustRightInd/>
        <w:snapToGrid/>
        <w:spacing w:before="0" w:after="0" w:line="360" w:lineRule="auto"/>
        <w:textAlignment w:val="auto"/>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供应商（乙方）：</w:t>
      </w:r>
    </w:p>
    <w:p w14:paraId="41807A1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根据《中华人民共和国政府采购法》、《中华人民共和国民法典》等有关法律法规规定，</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(以下简称:“甲方”)通过</w:t>
      </w:r>
      <w:r>
        <w:rPr>
          <w:rFonts w:hint="eastAsia" w:ascii="宋体" w:hAnsi="宋体" w:eastAsia="宋体" w:cs="宋体"/>
          <w:b w:val="0"/>
          <w:bCs w:val="0"/>
          <w:color w:val="auto"/>
          <w:kern w:val="2"/>
          <w:sz w:val="24"/>
          <w:szCs w:val="24"/>
          <w:highlight w:val="none"/>
          <w:u w:val="single"/>
          <w:lang w:val="en-US" w:eastAsia="zh-CN" w:bidi="ar-SA"/>
        </w:rPr>
        <w:t>竞谈</w:t>
      </w:r>
      <w:r>
        <w:rPr>
          <w:rFonts w:hint="eastAsia" w:ascii="宋体" w:hAnsi="宋体" w:eastAsia="宋体" w:cs="宋体"/>
          <w:b w:val="0"/>
          <w:bCs w:val="0"/>
          <w:color w:val="auto"/>
          <w:kern w:val="2"/>
          <w:sz w:val="24"/>
          <w:szCs w:val="24"/>
          <w:highlight w:val="none"/>
          <w:lang w:val="en-US" w:eastAsia="zh-CN" w:bidi="ar-SA"/>
        </w:rPr>
        <w:t>确定</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以下简称:“乙方”)为</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的成交供应商。甲乙双方同意签署《2025年城管执法制式服装采购项目采购合同》(以下简称:“合同”)。</w:t>
      </w:r>
    </w:p>
    <w:p w14:paraId="50BE3C7A">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一、合同文件</w:t>
      </w:r>
    </w:p>
    <w:p w14:paraId="6F2FF8C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下列文件是构成本合同不可分割的部分:</w:t>
      </w:r>
    </w:p>
    <w:p w14:paraId="4C03739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1.合同条款；</w:t>
      </w:r>
    </w:p>
    <w:p w14:paraId="28D8B69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2.甲方的谈判文件；</w:t>
      </w:r>
    </w:p>
    <w:p w14:paraId="23AE830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3.报价表；</w:t>
      </w:r>
    </w:p>
    <w:p w14:paraId="3613E60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4.投标(响应)文件；</w:t>
      </w:r>
    </w:p>
    <w:p w14:paraId="19AFBFA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5.其他(根据实际情况需要增加的内容)。</w:t>
      </w:r>
    </w:p>
    <w:p w14:paraId="2AD3F780">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二、定义</w:t>
      </w:r>
    </w:p>
    <w:p w14:paraId="7844A1D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本合同下列术语应解释为:</w:t>
      </w:r>
    </w:p>
    <w:p w14:paraId="7D45DE8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1.“甲方”是指采购人。</w:t>
      </w:r>
    </w:p>
    <w:p w14:paraId="3A7D859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2.“乙方”是指成交供应商。</w:t>
      </w:r>
    </w:p>
    <w:p w14:paraId="49BBC34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3.“合同”系指甲乙双方签署的、合同中载明的甲乙双方所达成的协议，包括所有的附件、附录和上述文件所提到的构成合同的所有文件。</w:t>
      </w:r>
    </w:p>
    <w:p w14:paraId="5C0402D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4.“货物”是指根据本合同规定，乙方按照招标(采购)、投标(响应)文件，向甲方提供符合要求的全部产品。</w:t>
      </w:r>
    </w:p>
    <w:p w14:paraId="3628D9E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5.“服务”是指根据本合同规定，乙方承担与货物有关的相关服务，包括但不限于运输、保险、质量保障、售后服务和合同中规定乙方应承担的其他义务。</w:t>
      </w:r>
    </w:p>
    <w:p w14:paraId="64686C2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6.除非特别指出，“天”均为自然天。</w:t>
      </w:r>
    </w:p>
    <w:p w14:paraId="2A6070E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default"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三、</w:t>
      </w:r>
      <w:r>
        <w:rPr>
          <w:rFonts w:hint="default" w:ascii="宋体" w:hAnsi="宋体" w:eastAsia="宋体" w:cs="宋体"/>
          <w:b/>
          <w:bCs/>
          <w:color w:val="auto"/>
          <w:kern w:val="2"/>
          <w:sz w:val="24"/>
          <w:szCs w:val="24"/>
          <w:highlight w:val="none"/>
          <w:lang w:val="en-US" w:eastAsia="zh-CN" w:bidi="ar-SA"/>
        </w:rPr>
        <w:t>合同标的标准</w:t>
      </w:r>
    </w:p>
    <w:p w14:paraId="48E21D0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宋体" w:hAnsi="宋体" w:eastAsia="宋体" w:cs="宋体"/>
          <w:b w:val="0"/>
          <w:bCs w:val="0"/>
          <w:color w:val="auto"/>
          <w:kern w:val="2"/>
          <w:sz w:val="24"/>
          <w:szCs w:val="24"/>
          <w:highlight w:val="none"/>
          <w:lang w:val="en-US" w:eastAsia="zh-CN" w:bidi="ar-SA"/>
        </w:rPr>
      </w:pPr>
      <w:r>
        <w:rPr>
          <w:rFonts w:hint="default" w:ascii="宋体" w:hAnsi="宋体" w:eastAsia="宋体" w:cs="宋体"/>
          <w:b w:val="0"/>
          <w:bCs w:val="0"/>
          <w:color w:val="auto"/>
          <w:kern w:val="2"/>
          <w:sz w:val="24"/>
          <w:szCs w:val="24"/>
          <w:highlight w:val="none"/>
          <w:lang w:val="en-US" w:eastAsia="zh-CN" w:bidi="ar-SA"/>
        </w:rPr>
        <w:t>1</w:t>
      </w:r>
      <w:r>
        <w:rPr>
          <w:rFonts w:hint="eastAsia" w:ascii="宋体" w:hAnsi="宋体" w:eastAsia="宋体" w:cs="宋体"/>
          <w:b w:val="0"/>
          <w:bCs w:val="0"/>
          <w:color w:val="auto"/>
          <w:kern w:val="2"/>
          <w:sz w:val="24"/>
          <w:szCs w:val="24"/>
          <w:highlight w:val="none"/>
          <w:lang w:val="en-US" w:eastAsia="zh-CN" w:bidi="ar-SA"/>
        </w:rPr>
        <w:t>.</w:t>
      </w:r>
      <w:r>
        <w:rPr>
          <w:rFonts w:hint="default" w:ascii="宋体" w:hAnsi="宋体" w:eastAsia="宋体" w:cs="宋体"/>
          <w:b w:val="0"/>
          <w:bCs w:val="0"/>
          <w:color w:val="auto"/>
          <w:kern w:val="2"/>
          <w:sz w:val="24"/>
          <w:szCs w:val="24"/>
          <w:highlight w:val="none"/>
          <w:lang w:val="en-US" w:eastAsia="zh-CN" w:bidi="ar-SA"/>
        </w:rPr>
        <w:t>乙方为甲方交付的货物及服务应符合竞争性谈判文件所述的内容，如果没有提及适用标准，则应符合相应的国家标准。这些标准必须是有关机构发布的最新版本的标准。</w:t>
      </w:r>
    </w:p>
    <w:p w14:paraId="4F62E73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宋体" w:hAnsi="宋体" w:eastAsia="宋体" w:cs="宋体"/>
          <w:b w:val="0"/>
          <w:bCs w:val="0"/>
          <w:color w:val="auto"/>
          <w:kern w:val="2"/>
          <w:sz w:val="24"/>
          <w:szCs w:val="24"/>
          <w:highlight w:val="none"/>
          <w:lang w:val="en-US" w:eastAsia="zh-CN" w:bidi="ar-SA"/>
        </w:rPr>
      </w:pPr>
      <w:r>
        <w:rPr>
          <w:rFonts w:hint="default" w:ascii="宋体" w:hAnsi="宋体" w:eastAsia="宋体" w:cs="宋体"/>
          <w:b w:val="0"/>
          <w:bCs w:val="0"/>
          <w:color w:val="auto"/>
          <w:kern w:val="2"/>
          <w:sz w:val="24"/>
          <w:szCs w:val="24"/>
          <w:highlight w:val="none"/>
          <w:lang w:val="en-US" w:eastAsia="zh-CN" w:bidi="ar-SA"/>
        </w:rPr>
        <w:t>2.除非技术要求中另有规定，计量单位均采用中华人民共和国法定计量单位。</w:t>
      </w:r>
    </w:p>
    <w:p w14:paraId="78E6D33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宋体" w:hAnsi="宋体" w:eastAsia="宋体" w:cs="宋体"/>
          <w:b w:val="0"/>
          <w:bCs w:val="0"/>
          <w:color w:val="auto"/>
          <w:kern w:val="2"/>
          <w:sz w:val="24"/>
          <w:szCs w:val="24"/>
          <w:highlight w:val="none"/>
          <w:lang w:val="en-US" w:eastAsia="zh-CN" w:bidi="ar-SA"/>
        </w:rPr>
      </w:pPr>
      <w:r>
        <w:rPr>
          <w:rFonts w:hint="default" w:ascii="宋体" w:hAnsi="宋体" w:eastAsia="宋体" w:cs="宋体"/>
          <w:b w:val="0"/>
          <w:bCs w:val="0"/>
          <w:color w:val="auto"/>
          <w:kern w:val="2"/>
          <w:sz w:val="24"/>
          <w:szCs w:val="24"/>
          <w:highlight w:val="none"/>
          <w:lang w:val="en-US" w:eastAsia="zh-CN" w:bidi="ar-SA"/>
        </w:rPr>
        <w:t>3</w:t>
      </w:r>
      <w:r>
        <w:rPr>
          <w:rFonts w:hint="eastAsia" w:ascii="宋体" w:hAnsi="宋体" w:eastAsia="宋体" w:cs="宋体"/>
          <w:b w:val="0"/>
          <w:bCs w:val="0"/>
          <w:color w:val="auto"/>
          <w:kern w:val="2"/>
          <w:sz w:val="24"/>
          <w:szCs w:val="24"/>
          <w:highlight w:val="none"/>
          <w:lang w:val="en-US" w:eastAsia="zh-CN" w:bidi="ar-SA"/>
        </w:rPr>
        <w:t>.</w:t>
      </w:r>
      <w:r>
        <w:rPr>
          <w:rFonts w:hint="default" w:ascii="宋体" w:hAnsi="宋体" w:eastAsia="宋体" w:cs="宋体"/>
          <w:b w:val="0"/>
          <w:bCs w:val="0"/>
          <w:color w:val="auto"/>
          <w:kern w:val="2"/>
          <w:sz w:val="24"/>
          <w:szCs w:val="24"/>
          <w:highlight w:val="none"/>
          <w:lang w:val="en-US" w:eastAsia="zh-CN" w:bidi="ar-SA"/>
        </w:rPr>
        <w:t>货物还应符合国家有关安全、环保、卫生的相关规定。</w:t>
      </w:r>
    </w:p>
    <w:p w14:paraId="01358769">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四、合同标的及价款</w:t>
      </w:r>
    </w:p>
    <w:p w14:paraId="18AD149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1.本合同总金额为人民币(大写)</w:t>
      </w:r>
      <w:r>
        <w:rPr>
          <w:rFonts w:hint="eastAsia" w:asciiTheme="minorEastAsia" w:hAnsiTheme="minorEastAsia" w:cstheme="minorEastAsia"/>
          <w:b w:val="0"/>
          <w:bCs w:val="0"/>
          <w:color w:val="auto"/>
          <w:kern w:val="2"/>
          <w:sz w:val="24"/>
          <w:szCs w:val="24"/>
          <w:highlight w:val="none"/>
          <w:u w:val="single"/>
          <w:lang w:val="en-US" w:eastAsia="zh-CN" w:bidi="ar-SA"/>
        </w:rPr>
        <w:t xml:space="preserve">                   </w:t>
      </w:r>
      <w:r>
        <w:rPr>
          <w:rFonts w:hint="eastAsia" w:asciiTheme="minorEastAsia" w:hAnsiTheme="minorEastAsia" w:eastAsiaTheme="minorEastAsia" w:cstheme="minorEastAsia"/>
          <w:b w:val="0"/>
          <w:bCs w:val="0"/>
          <w:color w:val="auto"/>
          <w:kern w:val="2"/>
          <w:sz w:val="24"/>
          <w:szCs w:val="24"/>
          <w:highlight w:val="none"/>
          <w:lang w:val="en-US" w:eastAsia="zh-CN" w:bidi="ar-SA"/>
        </w:rPr>
        <w:t>。</w:t>
      </w:r>
    </w:p>
    <w:p w14:paraId="4602980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2.本合同总金额包括并不限于专家评审费、人工费、资料费、设备费、差旅费、管理费、利润、税金、货物(产品)设计、材料、制造、包装、运输(含保险)、调换、检测等完成本项目所需的一切全部费用。还包含</w:t>
      </w:r>
      <w:r>
        <w:rPr>
          <w:rFonts w:hint="eastAsia" w:asciiTheme="minorEastAsia" w:hAnsiTheme="minorEastAsia" w:cstheme="minorEastAsia"/>
          <w:b w:val="0"/>
          <w:bCs w:val="0"/>
          <w:color w:val="auto"/>
          <w:kern w:val="2"/>
          <w:sz w:val="24"/>
          <w:szCs w:val="24"/>
          <w:highlight w:val="none"/>
          <w:lang w:val="en-US" w:eastAsia="zh-CN" w:bidi="ar-SA"/>
        </w:rPr>
        <w:t>乙方</w:t>
      </w:r>
      <w:r>
        <w:rPr>
          <w:rFonts w:hint="eastAsia" w:asciiTheme="minorEastAsia" w:hAnsiTheme="minorEastAsia" w:eastAsiaTheme="minorEastAsia" w:cstheme="minorEastAsia"/>
          <w:b w:val="0"/>
          <w:bCs w:val="0"/>
          <w:color w:val="auto"/>
          <w:kern w:val="2"/>
          <w:sz w:val="24"/>
          <w:szCs w:val="24"/>
          <w:highlight w:val="none"/>
          <w:lang w:val="en-US" w:eastAsia="zh-CN" w:bidi="ar-SA"/>
        </w:rPr>
        <w:t>应当提供的伴随服务和售后服务费用。</w:t>
      </w:r>
    </w:p>
    <w:p w14:paraId="66E72AA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3.本合同执行期间合同价款不变，甲方无须另向乙方支付本合同规定之外的其他任何费用。</w:t>
      </w:r>
    </w:p>
    <w:p w14:paraId="049822E7">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五、合同结算</w:t>
      </w:r>
    </w:p>
    <w:p w14:paraId="12D447B4">
      <w:pPr>
        <w:pStyle w:val="6"/>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1、合同签订，由乙方按合同约定将全部采购货物送达</w:t>
      </w:r>
      <w:r>
        <w:rPr>
          <w:rFonts w:hint="eastAsia" w:ascii="宋体" w:hAnsi="宋体" w:eastAsia="宋体" w:cs="宋体"/>
          <w:sz w:val="24"/>
          <w:szCs w:val="24"/>
          <w:highlight w:val="none"/>
          <w:lang w:val="en-US" w:eastAsia="zh-CN"/>
        </w:rPr>
        <w:t>甲方</w:t>
      </w:r>
      <w:r>
        <w:rPr>
          <w:rFonts w:hint="eastAsia" w:ascii="宋体" w:hAnsi="宋体" w:eastAsia="宋体" w:cs="宋体"/>
          <w:sz w:val="24"/>
          <w:szCs w:val="24"/>
          <w:highlight w:val="none"/>
        </w:rPr>
        <w:t>指定地点，且经</w:t>
      </w:r>
      <w:r>
        <w:rPr>
          <w:rFonts w:hint="eastAsia" w:ascii="宋体" w:hAnsi="宋体" w:eastAsia="宋体" w:cs="宋体"/>
          <w:sz w:val="24"/>
          <w:szCs w:val="24"/>
          <w:highlight w:val="none"/>
          <w:lang w:val="en-US" w:eastAsia="zh-CN"/>
        </w:rPr>
        <w:t>甲方</w:t>
      </w:r>
      <w:r>
        <w:rPr>
          <w:rFonts w:hint="eastAsia" w:ascii="宋体" w:hAnsi="宋体" w:eastAsia="宋体" w:cs="宋体"/>
          <w:sz w:val="24"/>
          <w:szCs w:val="24"/>
          <w:highlight w:val="none"/>
        </w:rPr>
        <w:t>验收合格后，由</w:t>
      </w:r>
      <w:r>
        <w:rPr>
          <w:rFonts w:hint="eastAsia" w:ascii="宋体" w:hAnsi="宋体" w:eastAsia="宋体" w:cs="宋体"/>
          <w:sz w:val="24"/>
          <w:szCs w:val="24"/>
          <w:highlight w:val="none"/>
          <w:lang w:val="en-US" w:eastAsia="zh-CN"/>
        </w:rPr>
        <w:t>甲方</w:t>
      </w:r>
      <w:r>
        <w:rPr>
          <w:rFonts w:hint="eastAsia" w:ascii="宋体" w:hAnsi="宋体" w:eastAsia="宋体" w:cs="宋体"/>
          <w:sz w:val="24"/>
          <w:szCs w:val="24"/>
          <w:highlight w:val="none"/>
        </w:rPr>
        <w:t xml:space="preserve">一次性向乙方全额支付合同价款。 </w:t>
      </w:r>
    </w:p>
    <w:p w14:paraId="6C403A9D">
      <w:pPr>
        <w:pStyle w:val="6"/>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甲方</w:t>
      </w:r>
      <w:r>
        <w:rPr>
          <w:rFonts w:hint="eastAsia" w:ascii="宋体" w:hAnsi="宋体" w:eastAsia="宋体" w:cs="宋体"/>
          <w:sz w:val="24"/>
          <w:szCs w:val="24"/>
          <w:highlight w:val="none"/>
        </w:rPr>
        <w:t>向乙方支付合同价款时，乙方均应开具等额增值税普通发票给</w:t>
      </w:r>
      <w:r>
        <w:rPr>
          <w:rFonts w:hint="eastAsia" w:ascii="宋体" w:hAnsi="宋体" w:eastAsia="宋体" w:cs="宋体"/>
          <w:sz w:val="24"/>
          <w:szCs w:val="24"/>
          <w:highlight w:val="none"/>
          <w:lang w:val="en-US" w:eastAsia="zh-CN"/>
        </w:rPr>
        <w:t>甲方</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甲方</w:t>
      </w:r>
      <w:r>
        <w:rPr>
          <w:rFonts w:hint="eastAsia" w:ascii="宋体" w:hAnsi="宋体" w:eastAsia="宋体" w:cs="宋体"/>
          <w:sz w:val="24"/>
          <w:szCs w:val="24"/>
          <w:highlight w:val="none"/>
        </w:rPr>
        <w:t>收到乙方出具的等额增值税普通发票后向乙方支付等额的合同金额，如乙方提供的采购货物与服务与</w:t>
      </w:r>
      <w:r>
        <w:rPr>
          <w:rFonts w:hint="eastAsia" w:ascii="宋体" w:hAnsi="宋体" w:eastAsia="宋体" w:cs="宋体"/>
          <w:sz w:val="24"/>
          <w:szCs w:val="24"/>
          <w:highlight w:val="none"/>
          <w:lang w:val="en-US" w:eastAsia="zh-CN"/>
        </w:rPr>
        <w:t>甲方</w:t>
      </w:r>
      <w:r>
        <w:rPr>
          <w:rFonts w:hint="eastAsia" w:ascii="宋体" w:hAnsi="宋体" w:eastAsia="宋体" w:cs="宋体"/>
          <w:sz w:val="24"/>
          <w:szCs w:val="24"/>
          <w:highlight w:val="none"/>
        </w:rPr>
        <w:t>的采购要求出现偏离，导致无法达到</w:t>
      </w:r>
      <w:r>
        <w:rPr>
          <w:rFonts w:hint="eastAsia" w:ascii="宋体" w:hAnsi="宋体" w:eastAsia="宋体" w:cs="宋体"/>
          <w:sz w:val="24"/>
          <w:szCs w:val="24"/>
          <w:highlight w:val="none"/>
          <w:lang w:val="en-US" w:eastAsia="zh-CN"/>
        </w:rPr>
        <w:t>甲方</w:t>
      </w:r>
      <w:r>
        <w:rPr>
          <w:rFonts w:hint="eastAsia" w:ascii="宋体" w:hAnsi="宋体" w:eastAsia="宋体" w:cs="宋体"/>
          <w:sz w:val="24"/>
          <w:szCs w:val="24"/>
          <w:highlight w:val="none"/>
        </w:rPr>
        <w:t>使用要求时，乙方有义务对采购货物与服务进行改进，直至达到</w:t>
      </w:r>
      <w:r>
        <w:rPr>
          <w:rFonts w:hint="eastAsia" w:ascii="宋体" w:hAnsi="宋体" w:eastAsia="宋体" w:cs="宋体"/>
          <w:sz w:val="24"/>
          <w:szCs w:val="24"/>
          <w:highlight w:val="none"/>
          <w:lang w:val="en-US" w:eastAsia="zh-CN"/>
        </w:rPr>
        <w:t>甲方</w:t>
      </w:r>
      <w:r>
        <w:rPr>
          <w:rFonts w:hint="eastAsia" w:ascii="宋体" w:hAnsi="宋体" w:eastAsia="宋体" w:cs="宋体"/>
          <w:sz w:val="24"/>
          <w:szCs w:val="24"/>
          <w:highlight w:val="none"/>
        </w:rPr>
        <w:t>要求。 达到付款条件起 30日内，支付合同总金额的 100.00%。</w:t>
      </w:r>
    </w:p>
    <w:p w14:paraId="291F8439">
      <w:pPr>
        <w:keepNext/>
        <w:keepLines w:val="0"/>
        <w:pageBreakBefore w:val="0"/>
        <w:widowControl w:val="0"/>
        <w:kinsoku/>
        <w:wordWrap/>
        <w:overflowPunct/>
        <w:topLinePunct w:val="0"/>
        <w:autoSpaceDE/>
        <w:autoSpaceDN/>
        <w:bidi w:val="0"/>
        <w:adjustRightInd/>
        <w:snapToGrid/>
        <w:spacing w:before="0" w:after="0" w:line="360" w:lineRule="auto"/>
        <w:ind w:firstLine="480" w:firstLineChars="200"/>
        <w:textAlignment w:val="auto"/>
        <w:outlineLvl w:val="9"/>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3.结算方式：银行转账。</w:t>
      </w:r>
    </w:p>
    <w:p w14:paraId="1D80A961">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Theme="minorEastAsia" w:hAnsiTheme="minorEastAsia" w:eastAsiaTheme="minorEastAsia" w:cstheme="minorEastAsia"/>
          <w:sz w:val="24"/>
          <w:szCs w:val="24"/>
          <w:highlight w:val="none"/>
          <w:vertAlign w:val="baseline"/>
          <w:lang w:val="en-US" w:eastAsia="zh-CN"/>
        </w:rPr>
      </w:pPr>
      <w:r>
        <w:rPr>
          <w:rFonts w:hint="eastAsia" w:ascii="宋体" w:hAnsi="宋体" w:eastAsia="宋体" w:cs="宋体"/>
          <w:b/>
          <w:bCs/>
          <w:color w:val="auto"/>
          <w:kern w:val="2"/>
          <w:sz w:val="24"/>
          <w:szCs w:val="24"/>
          <w:highlight w:val="none"/>
          <w:lang w:val="en-US" w:eastAsia="zh-CN" w:bidi="ar-SA"/>
        </w:rPr>
        <w:t>六、履约保证金及其返还</w:t>
      </w:r>
      <w:r>
        <w:rPr>
          <w:rFonts w:hint="eastAsia" w:asciiTheme="minorEastAsia" w:hAnsiTheme="minorEastAsia" w:eastAsiaTheme="minorEastAsia" w:cstheme="minorEastAsia"/>
          <w:b w:val="0"/>
          <w:bCs w:val="0"/>
          <w:color w:val="auto"/>
          <w:kern w:val="2"/>
          <w:sz w:val="24"/>
          <w:szCs w:val="24"/>
          <w:highlight w:val="none"/>
          <w:lang w:val="en-US" w:eastAsia="zh-CN" w:bidi="ar-SA"/>
        </w:rPr>
        <w:t>：本项目不设置履约保证金。</w:t>
      </w:r>
    </w:p>
    <w:p w14:paraId="56E947D6">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default"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七、交货时间、地点及方式</w:t>
      </w:r>
    </w:p>
    <w:p w14:paraId="600707B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1.交货时间：合同签订，量体完成后</w:t>
      </w:r>
      <w:r>
        <w:rPr>
          <w:rFonts w:hint="eastAsia" w:asciiTheme="minorEastAsia" w:hAnsiTheme="minorEastAsia" w:cstheme="minorEastAsia"/>
          <w:b w:val="0"/>
          <w:bCs w:val="0"/>
          <w:color w:val="auto"/>
          <w:kern w:val="2"/>
          <w:sz w:val="24"/>
          <w:szCs w:val="24"/>
          <w:highlight w:val="none"/>
          <w:lang w:val="en-US" w:eastAsia="zh-CN" w:bidi="ar-SA"/>
        </w:rPr>
        <w:t>30</w:t>
      </w:r>
      <w:r>
        <w:rPr>
          <w:rFonts w:hint="eastAsia" w:asciiTheme="minorEastAsia" w:hAnsiTheme="minorEastAsia" w:eastAsiaTheme="minorEastAsia" w:cstheme="minorEastAsia"/>
          <w:b w:val="0"/>
          <w:bCs w:val="0"/>
          <w:color w:val="auto"/>
          <w:kern w:val="2"/>
          <w:sz w:val="24"/>
          <w:szCs w:val="24"/>
          <w:highlight w:val="none"/>
          <w:lang w:val="en-US" w:eastAsia="zh-CN" w:bidi="ar-SA"/>
        </w:rPr>
        <w:t>个日历日内交货。</w:t>
      </w:r>
    </w:p>
    <w:p w14:paraId="17ED0FE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2.交货地点：甲方指定地点。</w:t>
      </w:r>
    </w:p>
    <w:p w14:paraId="4B69DD3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3.交货方式：在规定时间内完成交货并验收合格。</w:t>
      </w:r>
    </w:p>
    <w:p w14:paraId="4DA13CE8">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八、验收方式及标准：</w:t>
      </w:r>
    </w:p>
    <w:p w14:paraId="58E9B394">
      <w:pPr>
        <w:pStyle w:val="6"/>
        <w:spacing w:line="360" w:lineRule="auto"/>
        <w:ind w:firstLine="420"/>
        <w:jc w:val="both"/>
        <w:rPr>
          <w:rFonts w:hint="default"/>
          <w:sz w:val="24"/>
          <w:szCs w:val="24"/>
          <w:highlight w:val="none"/>
        </w:rPr>
      </w:pPr>
      <w:r>
        <w:rPr>
          <w:rFonts w:ascii="宋体" w:hAnsi="宋体" w:eastAsia="宋体" w:cs="宋体"/>
          <w:sz w:val="24"/>
          <w:szCs w:val="24"/>
          <w:highlight w:val="none"/>
        </w:rPr>
        <w:t>1</w:t>
      </w:r>
      <w:r>
        <w:rPr>
          <w:rFonts w:hint="eastAsia" w:ascii="宋体" w:hAnsi="宋体" w:eastAsia="宋体" w:cs="宋体"/>
          <w:sz w:val="24"/>
          <w:szCs w:val="24"/>
          <w:highlight w:val="none"/>
          <w:lang w:val="en-US" w:eastAsia="zh-CN"/>
        </w:rPr>
        <w:t>.</w:t>
      </w:r>
      <w:r>
        <w:rPr>
          <w:rFonts w:ascii="宋体" w:hAnsi="宋体" w:eastAsia="宋体" w:cs="宋体"/>
          <w:sz w:val="24"/>
          <w:szCs w:val="24"/>
          <w:highlight w:val="none"/>
        </w:rPr>
        <w:t>货物到达现场后，</w:t>
      </w:r>
      <w:r>
        <w:rPr>
          <w:rFonts w:hint="eastAsia" w:ascii="宋体" w:hAnsi="宋体" w:eastAsia="宋体" w:cs="宋体"/>
          <w:sz w:val="24"/>
          <w:szCs w:val="24"/>
          <w:highlight w:val="none"/>
          <w:lang w:val="en-US" w:eastAsia="zh-CN"/>
        </w:rPr>
        <w:t>乙方</w:t>
      </w:r>
      <w:r>
        <w:rPr>
          <w:rFonts w:ascii="宋体" w:hAnsi="宋体" w:eastAsia="宋体" w:cs="宋体"/>
          <w:sz w:val="24"/>
          <w:szCs w:val="24"/>
          <w:highlight w:val="none"/>
        </w:rPr>
        <w:t>应在</w:t>
      </w:r>
      <w:r>
        <w:rPr>
          <w:rFonts w:hint="eastAsia" w:ascii="宋体" w:hAnsi="宋体" w:eastAsia="宋体" w:cs="宋体"/>
          <w:sz w:val="24"/>
          <w:szCs w:val="24"/>
          <w:highlight w:val="none"/>
          <w:lang w:val="en-US" w:eastAsia="zh-CN"/>
        </w:rPr>
        <w:t>甲方</w:t>
      </w:r>
      <w:r>
        <w:rPr>
          <w:rFonts w:ascii="宋体" w:hAnsi="宋体" w:eastAsia="宋体" w:cs="宋体"/>
          <w:sz w:val="24"/>
          <w:szCs w:val="24"/>
          <w:highlight w:val="none"/>
        </w:rPr>
        <w:t>在场情况下当面开箱，共同清点、检查外观，作出开箱记录，双方签字确认。</w:t>
      </w:r>
    </w:p>
    <w:p w14:paraId="723BCC8A">
      <w:pPr>
        <w:pStyle w:val="6"/>
        <w:spacing w:line="360" w:lineRule="auto"/>
        <w:ind w:firstLine="420"/>
        <w:jc w:val="both"/>
        <w:rPr>
          <w:rFonts w:hint="default"/>
          <w:sz w:val="24"/>
          <w:szCs w:val="24"/>
          <w:highlight w:val="none"/>
        </w:rPr>
      </w:pPr>
      <w:r>
        <w:rPr>
          <w:rFonts w:ascii="宋体" w:hAnsi="宋体" w:eastAsia="宋体" w:cs="宋体"/>
          <w:sz w:val="24"/>
          <w:szCs w:val="24"/>
          <w:highlight w:val="none"/>
        </w:rPr>
        <w:t>2</w:t>
      </w:r>
      <w:r>
        <w:rPr>
          <w:rFonts w:hint="eastAsia" w:ascii="宋体" w:hAnsi="宋体" w:eastAsia="宋体" w:cs="宋体"/>
          <w:sz w:val="24"/>
          <w:szCs w:val="24"/>
          <w:highlight w:val="none"/>
          <w:lang w:val="en-US" w:eastAsia="zh-CN"/>
        </w:rPr>
        <w:t>.乙方</w:t>
      </w:r>
      <w:r>
        <w:rPr>
          <w:rFonts w:ascii="宋体" w:hAnsi="宋体" w:eastAsia="宋体" w:cs="宋体"/>
          <w:sz w:val="24"/>
          <w:szCs w:val="24"/>
          <w:highlight w:val="none"/>
        </w:rPr>
        <w:t>应保证货物到达</w:t>
      </w:r>
      <w:r>
        <w:rPr>
          <w:rFonts w:hint="eastAsia" w:ascii="宋体" w:hAnsi="宋体" w:eastAsia="宋体" w:cs="宋体"/>
          <w:sz w:val="24"/>
          <w:szCs w:val="24"/>
          <w:highlight w:val="none"/>
          <w:lang w:val="en-US" w:eastAsia="zh-CN"/>
        </w:rPr>
        <w:t>甲方</w:t>
      </w:r>
      <w:r>
        <w:rPr>
          <w:rFonts w:ascii="宋体" w:hAnsi="宋体" w:eastAsia="宋体" w:cs="宋体"/>
          <w:sz w:val="24"/>
          <w:szCs w:val="24"/>
          <w:highlight w:val="none"/>
        </w:rPr>
        <w:t>所在地完好无损，如有缺漏、损坏，</w:t>
      </w:r>
      <w:r>
        <w:rPr>
          <w:rFonts w:hint="eastAsia" w:ascii="宋体" w:hAnsi="宋体" w:eastAsia="宋体" w:cs="宋体"/>
          <w:sz w:val="24"/>
          <w:szCs w:val="24"/>
          <w:highlight w:val="none"/>
          <w:lang w:val="en-US" w:eastAsia="zh-CN"/>
        </w:rPr>
        <w:t>乙方</w:t>
      </w:r>
      <w:r>
        <w:rPr>
          <w:rFonts w:ascii="宋体" w:hAnsi="宋体" w:eastAsia="宋体" w:cs="宋体"/>
          <w:sz w:val="24"/>
          <w:szCs w:val="24"/>
          <w:highlight w:val="none"/>
        </w:rPr>
        <w:t>负责调换、补齐。</w:t>
      </w:r>
    </w:p>
    <w:p w14:paraId="3594CA82">
      <w:pPr>
        <w:pStyle w:val="6"/>
        <w:spacing w:line="360" w:lineRule="auto"/>
        <w:ind w:firstLine="420"/>
        <w:jc w:val="both"/>
        <w:rPr>
          <w:rFonts w:hint="default"/>
          <w:sz w:val="24"/>
          <w:szCs w:val="24"/>
          <w:highlight w:val="none"/>
        </w:rPr>
      </w:pPr>
      <w:r>
        <w:rPr>
          <w:rFonts w:ascii="宋体" w:hAnsi="宋体" w:eastAsia="宋体" w:cs="宋体"/>
          <w:sz w:val="24"/>
          <w:szCs w:val="24"/>
          <w:highlight w:val="none"/>
        </w:rPr>
        <w:t>3</w:t>
      </w:r>
      <w:r>
        <w:rPr>
          <w:rFonts w:hint="eastAsia" w:ascii="宋体" w:hAnsi="宋体" w:eastAsia="宋体" w:cs="宋体"/>
          <w:sz w:val="24"/>
          <w:szCs w:val="24"/>
          <w:highlight w:val="none"/>
          <w:lang w:val="en-US" w:eastAsia="zh-CN"/>
        </w:rPr>
        <w:t>.乙方</w:t>
      </w:r>
      <w:r>
        <w:rPr>
          <w:rFonts w:ascii="宋体" w:hAnsi="宋体" w:eastAsia="宋体" w:cs="宋体"/>
          <w:sz w:val="24"/>
          <w:szCs w:val="24"/>
          <w:highlight w:val="none"/>
        </w:rPr>
        <w:t>必须为本次采购服装的</w:t>
      </w:r>
      <w:r>
        <w:rPr>
          <w:rFonts w:hint="eastAsia" w:ascii="宋体" w:hAnsi="宋体" w:eastAsia="宋体" w:cs="宋体"/>
          <w:sz w:val="24"/>
          <w:szCs w:val="24"/>
          <w:highlight w:val="none"/>
          <w:lang w:val="en-US" w:eastAsia="zh-CN"/>
        </w:rPr>
        <w:t>甲方</w:t>
      </w:r>
      <w:r>
        <w:rPr>
          <w:rFonts w:ascii="宋体" w:hAnsi="宋体" w:eastAsia="宋体" w:cs="宋体"/>
          <w:sz w:val="24"/>
          <w:szCs w:val="24"/>
          <w:highlight w:val="none"/>
        </w:rPr>
        <w:t>职工量体裁衣。</w:t>
      </w:r>
    </w:p>
    <w:p w14:paraId="329CFC33">
      <w:pPr>
        <w:pStyle w:val="6"/>
        <w:spacing w:line="360" w:lineRule="auto"/>
        <w:ind w:firstLine="420"/>
        <w:jc w:val="both"/>
        <w:rPr>
          <w:rFonts w:hint="default"/>
          <w:sz w:val="24"/>
          <w:szCs w:val="24"/>
          <w:highlight w:val="none"/>
        </w:rPr>
      </w:pPr>
      <w:r>
        <w:rPr>
          <w:rFonts w:ascii="宋体" w:hAnsi="宋体" w:eastAsia="宋体" w:cs="宋体"/>
          <w:sz w:val="24"/>
          <w:szCs w:val="24"/>
          <w:highlight w:val="none"/>
        </w:rPr>
        <w:t>4</w:t>
      </w:r>
      <w:r>
        <w:rPr>
          <w:rFonts w:hint="eastAsia" w:ascii="宋体" w:hAnsi="宋体" w:eastAsia="宋体" w:cs="宋体"/>
          <w:sz w:val="24"/>
          <w:szCs w:val="24"/>
          <w:highlight w:val="none"/>
          <w:lang w:val="en-US" w:eastAsia="zh-CN"/>
        </w:rPr>
        <w:t>.乙方</w:t>
      </w:r>
      <w:r>
        <w:rPr>
          <w:rFonts w:ascii="宋体" w:hAnsi="宋体" w:eastAsia="宋体" w:cs="宋体"/>
          <w:sz w:val="24"/>
          <w:szCs w:val="24"/>
          <w:highlight w:val="none"/>
        </w:rPr>
        <w:t>必须保证货物是全新、未使用过的，并完全符合规定的质量要求，提供第三方专业检测机构出具的对于本批次服装（含鞋、帽）的检测报告。</w:t>
      </w:r>
    </w:p>
    <w:p w14:paraId="6F9FBDA8">
      <w:pPr>
        <w:pStyle w:val="6"/>
        <w:spacing w:line="360" w:lineRule="auto"/>
        <w:ind w:firstLine="420"/>
        <w:jc w:val="both"/>
        <w:rPr>
          <w:rFonts w:hint="default"/>
          <w:sz w:val="24"/>
          <w:szCs w:val="24"/>
          <w:highlight w:val="none"/>
        </w:rPr>
      </w:pPr>
      <w:r>
        <w:rPr>
          <w:rFonts w:ascii="宋体" w:hAnsi="宋体" w:eastAsia="宋体" w:cs="宋体"/>
          <w:sz w:val="24"/>
          <w:szCs w:val="24"/>
          <w:highlight w:val="none"/>
        </w:rPr>
        <w:t>5</w:t>
      </w:r>
      <w:r>
        <w:rPr>
          <w:rFonts w:hint="eastAsia" w:ascii="宋体" w:hAnsi="宋体" w:eastAsia="宋体" w:cs="宋体"/>
          <w:sz w:val="24"/>
          <w:szCs w:val="24"/>
          <w:highlight w:val="none"/>
          <w:lang w:val="en-US" w:eastAsia="zh-CN"/>
        </w:rPr>
        <w:t>.乙方</w:t>
      </w:r>
      <w:r>
        <w:rPr>
          <w:rFonts w:ascii="宋体" w:hAnsi="宋体" w:eastAsia="宋体" w:cs="宋体"/>
          <w:sz w:val="24"/>
          <w:szCs w:val="24"/>
          <w:highlight w:val="none"/>
        </w:rPr>
        <w:t>提供的货物质量未达到采购文件规定要求，且对</w:t>
      </w:r>
      <w:r>
        <w:rPr>
          <w:rFonts w:hint="eastAsia" w:ascii="宋体" w:hAnsi="宋体" w:eastAsia="宋体" w:cs="宋体"/>
          <w:sz w:val="24"/>
          <w:szCs w:val="24"/>
          <w:highlight w:val="none"/>
          <w:lang w:val="en-US" w:eastAsia="zh-CN"/>
        </w:rPr>
        <w:t>甲方</w:t>
      </w:r>
      <w:r>
        <w:rPr>
          <w:rFonts w:ascii="宋体" w:hAnsi="宋体" w:eastAsia="宋体" w:cs="宋体"/>
          <w:sz w:val="24"/>
          <w:szCs w:val="24"/>
          <w:highlight w:val="none"/>
        </w:rPr>
        <w:t>造成损失的，</w:t>
      </w:r>
      <w:r>
        <w:rPr>
          <w:rFonts w:hint="eastAsia" w:ascii="宋体" w:hAnsi="宋体" w:eastAsia="宋体" w:cs="宋体"/>
          <w:sz w:val="24"/>
          <w:szCs w:val="24"/>
          <w:highlight w:val="none"/>
          <w:lang w:val="en-US" w:eastAsia="zh-CN"/>
        </w:rPr>
        <w:t>乙方</w:t>
      </w:r>
      <w:r>
        <w:rPr>
          <w:rFonts w:ascii="宋体" w:hAnsi="宋体" w:eastAsia="宋体" w:cs="宋体"/>
          <w:sz w:val="24"/>
          <w:szCs w:val="24"/>
          <w:highlight w:val="none"/>
        </w:rPr>
        <w:t>承担一切责任，并赔偿所造成的损失。</w:t>
      </w:r>
    </w:p>
    <w:p w14:paraId="6F26F1C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cstheme="minorEastAsia"/>
          <w:b w:val="0"/>
          <w:bCs w:val="0"/>
          <w:color w:val="auto"/>
          <w:kern w:val="2"/>
          <w:sz w:val="24"/>
          <w:szCs w:val="24"/>
          <w:highlight w:val="none"/>
          <w:lang w:val="en-US" w:eastAsia="zh-CN" w:bidi="ar-SA"/>
        </w:rPr>
        <w:t>6</w:t>
      </w:r>
      <w:r>
        <w:rPr>
          <w:rFonts w:hint="eastAsia" w:asciiTheme="minorEastAsia" w:hAnsiTheme="minorEastAsia" w:eastAsiaTheme="minorEastAsia" w:cstheme="minorEastAsia"/>
          <w:b w:val="0"/>
          <w:bCs w:val="0"/>
          <w:color w:val="auto"/>
          <w:kern w:val="2"/>
          <w:sz w:val="24"/>
          <w:szCs w:val="24"/>
          <w:highlight w:val="none"/>
          <w:lang w:val="en-US" w:eastAsia="zh-CN" w:bidi="ar-SA"/>
        </w:rPr>
        <w:t>.甲方对货物进行检查验收合格后，应当及时履行验收手续。</w:t>
      </w:r>
    </w:p>
    <w:p w14:paraId="14409A4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cstheme="minorEastAsia"/>
          <w:b w:val="0"/>
          <w:bCs w:val="0"/>
          <w:color w:val="auto"/>
          <w:kern w:val="2"/>
          <w:sz w:val="24"/>
          <w:szCs w:val="24"/>
          <w:highlight w:val="none"/>
          <w:lang w:val="en-US" w:eastAsia="zh-CN" w:bidi="ar-SA"/>
        </w:rPr>
        <w:t>7</w:t>
      </w:r>
      <w:r>
        <w:rPr>
          <w:rFonts w:hint="eastAsia" w:asciiTheme="minorEastAsia" w:hAnsiTheme="minorEastAsia" w:eastAsiaTheme="minorEastAsia" w:cstheme="minorEastAsia"/>
          <w:b w:val="0"/>
          <w:bCs w:val="0"/>
          <w:color w:val="auto"/>
          <w:kern w:val="2"/>
          <w:sz w:val="24"/>
          <w:szCs w:val="24"/>
          <w:highlight w:val="none"/>
          <w:lang w:val="en-US" w:eastAsia="zh-CN" w:bidi="ar-SA"/>
        </w:rPr>
        <w:t>.甲方可以邀请国家认可的质量检测机构参加验收工作，并由其出具验收报告。</w:t>
      </w:r>
    </w:p>
    <w:p w14:paraId="4C531484">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九、质量保证</w:t>
      </w:r>
    </w:p>
    <w:p w14:paraId="02B5BDF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1.乙方应保证所供货物是全新的、未使用过的，并完全符合或高于合同要求的质量、规格和技术性能的要求。</w:t>
      </w:r>
    </w:p>
    <w:p w14:paraId="76084C1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2.乙方应保证其货物在正确安装、正常使用和保养条件下，在其使用寿命期内具有满意的性能，或者没有因乙方的行为或疏忽而产生的缺陷。在货物最终交付验收后不少于合同规定或乙方承诺(两者以较长的为准)的质量保证期内，本保证保持有效。</w:t>
      </w:r>
    </w:p>
    <w:p w14:paraId="1BECA11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3.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54F440A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4.质量保证期为自项目总体验收合格之日起1年。在质量保证期内，出现产品自身质量问题的和发现缺陷的，甲方应尽快以书面形式通知乙方，乙方应在接到甲方通知后24小时内派出人员到现场进行查验、回收、修复并在10天内将修复好的货物送交至甲方，若非货物本身质量问题，产生的相关修复费用则由甲方人员自行支付。</w:t>
      </w:r>
    </w:p>
    <w:p w14:paraId="4075513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5.乙方收到通知后应在本合同规定的响应时间内以合理的速度免费维修或更换有缺陷的货物或部件。</w:t>
      </w:r>
    </w:p>
    <w:p w14:paraId="041C340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cstheme="minorEastAsia"/>
          <w:b w:val="0"/>
          <w:bCs w:val="0"/>
          <w:color w:val="auto"/>
          <w:kern w:val="2"/>
          <w:sz w:val="24"/>
          <w:szCs w:val="24"/>
          <w:highlight w:val="none"/>
          <w:lang w:val="en-US" w:eastAsia="zh-CN" w:bidi="ar-SA"/>
        </w:rPr>
        <w:t>6</w:t>
      </w:r>
      <w:r>
        <w:rPr>
          <w:rFonts w:hint="eastAsia" w:asciiTheme="minorEastAsia" w:hAnsiTheme="minorEastAsia" w:eastAsiaTheme="minorEastAsia" w:cstheme="minorEastAsia"/>
          <w:b w:val="0"/>
          <w:bCs w:val="0"/>
          <w:color w:val="auto"/>
          <w:kern w:val="2"/>
          <w:sz w:val="24"/>
          <w:szCs w:val="24"/>
          <w:highlight w:val="none"/>
          <w:lang w:val="en-US" w:eastAsia="zh-CN" w:bidi="ar-SA"/>
        </w:rPr>
        <w:t>.乙方在约定的时间内未能弥补缺陷，甲方可采取必要的补救措施，但其风险和费用将由乙方承担，甲方根据合同规定对乙方行使的其他权利不受影响。</w:t>
      </w:r>
    </w:p>
    <w:p w14:paraId="2C0B04A9">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十、包装要求</w:t>
      </w:r>
    </w:p>
    <w:p w14:paraId="6A5BFD2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1.除合同另有规定外，乙方提供的全部货物均应按标准保护措施进行包装，这类包装应适应于远距离运输、防潮、防震、防锈和防野蛮装卸，以确保货物安全无损运抵指定现场。</w:t>
      </w:r>
    </w:p>
    <w:p w14:paraId="4E67EF7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2.乙方应承担由于其包装或防护措施不当而引起的货物损坏和丢失的任何损失责任和费用。</w:t>
      </w:r>
    </w:p>
    <w:p w14:paraId="7F90CB2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3.每一个包装箱内应附一份详细装箱单和质量证书。</w:t>
      </w:r>
    </w:p>
    <w:p w14:paraId="3BE9A70B">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十一、知识产权</w:t>
      </w:r>
    </w:p>
    <w:p w14:paraId="34B81B7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1.乙方应保证所提供的货物及服务免受第三方提出侵犯其知识产权(专利权、商标权、版权等)的起诉。如果甲方在使用乙方货物或货物的任何一部分过程中，第三方提出货物侵犯其专利权、工业设计权、使用权等知识产权，乙方应当修正以避免侵权。</w:t>
      </w:r>
    </w:p>
    <w:p w14:paraId="4C97A9A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2.如果甲方在使用乙方货物或货物的任何一部分过程中，第三方指控侵犯其专利权、工业设计权、使用权等知识产权，乙方将自费为甲方答辩，并支付法院最终判决的甲方应支付第三方的一切费用。</w:t>
      </w:r>
    </w:p>
    <w:p w14:paraId="2DBABAB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3.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14:paraId="1A135AFF">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十二、保密义务</w:t>
      </w:r>
    </w:p>
    <w:p w14:paraId="2CC37D7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甲乙双方在采购和履行合同过程中所获悉的对方属于保密的内容，双方均有保密义务。</w:t>
      </w:r>
    </w:p>
    <w:p w14:paraId="33F85A5D">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十三、违约责任</w:t>
      </w:r>
    </w:p>
    <w:p w14:paraId="7B2B7ADB">
      <w:pPr>
        <w:pStyle w:val="6"/>
        <w:spacing w:line="360" w:lineRule="auto"/>
        <w:ind w:firstLine="480" w:firstLineChars="200"/>
        <w:rPr>
          <w:sz w:val="24"/>
          <w:szCs w:val="24"/>
          <w:highlight w:val="none"/>
        </w:rPr>
      </w:pPr>
      <w:r>
        <w:rPr>
          <w:rFonts w:hint="eastAsia"/>
          <w:sz w:val="24"/>
          <w:szCs w:val="24"/>
          <w:highlight w:val="none"/>
          <w:lang w:val="en-US" w:eastAsia="zh-CN"/>
        </w:rPr>
        <w:t>1、</w:t>
      </w:r>
      <w:r>
        <w:rPr>
          <w:sz w:val="24"/>
          <w:szCs w:val="24"/>
          <w:highlight w:val="none"/>
        </w:rPr>
        <w:t xml:space="preserve">按《中华人民共和国民法典》中的相关条款执行。 </w:t>
      </w:r>
    </w:p>
    <w:p w14:paraId="585C16DF">
      <w:pPr>
        <w:pStyle w:val="6"/>
        <w:spacing w:line="360" w:lineRule="auto"/>
        <w:ind w:firstLine="480" w:firstLineChars="200"/>
        <w:rPr>
          <w:sz w:val="24"/>
          <w:szCs w:val="24"/>
          <w:highlight w:val="none"/>
        </w:rPr>
      </w:pPr>
      <w:r>
        <w:rPr>
          <w:rFonts w:hint="eastAsia"/>
          <w:sz w:val="24"/>
          <w:szCs w:val="24"/>
          <w:highlight w:val="none"/>
          <w:lang w:val="en-US" w:eastAsia="zh-CN"/>
        </w:rPr>
        <w:t>2、</w:t>
      </w:r>
      <w:r>
        <w:rPr>
          <w:sz w:val="24"/>
          <w:szCs w:val="24"/>
          <w:highlight w:val="none"/>
        </w:rPr>
        <w:t>未按合同或报价要求提供产品或供应提供的产品质量不能满足</w:t>
      </w:r>
      <w:r>
        <w:rPr>
          <w:rFonts w:hint="eastAsia"/>
          <w:sz w:val="24"/>
          <w:szCs w:val="24"/>
          <w:highlight w:val="none"/>
          <w:lang w:val="en-US" w:eastAsia="zh-CN"/>
        </w:rPr>
        <w:t>甲方</w:t>
      </w:r>
      <w:r>
        <w:rPr>
          <w:sz w:val="24"/>
          <w:szCs w:val="24"/>
          <w:highlight w:val="none"/>
        </w:rPr>
        <w:t>技术要求，其所发生的一切费用由乙方自行承担，给</w:t>
      </w:r>
      <w:r>
        <w:rPr>
          <w:rFonts w:hint="eastAsia"/>
          <w:sz w:val="24"/>
          <w:szCs w:val="24"/>
          <w:highlight w:val="none"/>
          <w:lang w:val="en-US" w:eastAsia="zh-CN"/>
        </w:rPr>
        <w:t>甲方</w:t>
      </w:r>
      <w:r>
        <w:rPr>
          <w:sz w:val="24"/>
          <w:szCs w:val="24"/>
          <w:highlight w:val="none"/>
        </w:rPr>
        <w:t>造成损失的应予以赔偿，乙方在供货中若发生重大违法犯罪记录、及偷税漏税等不良行为，</w:t>
      </w:r>
      <w:r>
        <w:rPr>
          <w:rFonts w:hint="eastAsia"/>
          <w:sz w:val="24"/>
          <w:szCs w:val="24"/>
          <w:highlight w:val="none"/>
          <w:lang w:val="en-US" w:eastAsia="zh-CN"/>
        </w:rPr>
        <w:t>甲方</w:t>
      </w:r>
      <w:r>
        <w:rPr>
          <w:sz w:val="24"/>
          <w:szCs w:val="24"/>
          <w:highlight w:val="none"/>
        </w:rPr>
        <w:t>有权终止合同，甚至对乙方违约行为进行追究，同时</w:t>
      </w:r>
      <w:r>
        <w:rPr>
          <w:rFonts w:hint="eastAsia"/>
          <w:sz w:val="24"/>
          <w:szCs w:val="24"/>
          <w:highlight w:val="none"/>
          <w:lang w:val="en-US" w:eastAsia="zh-CN"/>
        </w:rPr>
        <w:t>甲方</w:t>
      </w:r>
      <w:r>
        <w:rPr>
          <w:sz w:val="24"/>
          <w:szCs w:val="24"/>
          <w:highlight w:val="none"/>
        </w:rPr>
        <w:t xml:space="preserve">有权取消其乙方中标资格。 </w:t>
      </w:r>
    </w:p>
    <w:p w14:paraId="6B1FE718">
      <w:pPr>
        <w:pStyle w:val="6"/>
        <w:spacing w:line="360" w:lineRule="auto"/>
        <w:ind w:firstLine="480" w:firstLineChars="200"/>
        <w:rPr>
          <w:sz w:val="24"/>
          <w:szCs w:val="24"/>
          <w:highlight w:val="none"/>
        </w:rPr>
      </w:pPr>
      <w:r>
        <w:rPr>
          <w:rFonts w:hint="eastAsia"/>
          <w:sz w:val="24"/>
          <w:szCs w:val="24"/>
          <w:highlight w:val="none"/>
          <w:lang w:val="en-US" w:eastAsia="zh-CN"/>
        </w:rPr>
        <w:t>3、</w:t>
      </w:r>
      <w:r>
        <w:rPr>
          <w:sz w:val="24"/>
          <w:szCs w:val="24"/>
          <w:highlight w:val="none"/>
        </w:rPr>
        <w:t xml:space="preserve">在合同实施过程中，若乙方未按合同要求提供货物，甲方将提出限期整改要求，乙方应根据要求及时整改。若乙方未按要求进行整改，甲方有权单方面终止合同。 合同争议解决的方式： 本合同在履行过程中发生的争议，由甲、乙双方当事人协商解决，协商不成的按下列 第（二）种方式解决： </w:t>
      </w:r>
    </w:p>
    <w:p w14:paraId="7A24173E">
      <w:pPr>
        <w:pStyle w:val="6"/>
        <w:spacing w:line="360" w:lineRule="auto"/>
        <w:ind w:firstLine="480" w:firstLineChars="200"/>
        <w:rPr>
          <w:sz w:val="24"/>
          <w:szCs w:val="24"/>
          <w:highlight w:val="none"/>
        </w:rPr>
      </w:pPr>
      <w:r>
        <w:rPr>
          <w:sz w:val="24"/>
          <w:szCs w:val="24"/>
          <w:highlight w:val="none"/>
        </w:rPr>
        <w:t xml:space="preserve">（一）提交仲裁委员会仲裁； </w:t>
      </w:r>
    </w:p>
    <w:p w14:paraId="0957BCB6">
      <w:pPr>
        <w:pStyle w:val="6"/>
        <w:spacing w:line="360" w:lineRule="auto"/>
        <w:ind w:firstLine="480" w:firstLineChars="200"/>
        <w:rPr>
          <w:rFonts w:hint="default"/>
          <w:sz w:val="24"/>
          <w:szCs w:val="24"/>
          <w:highlight w:val="none"/>
        </w:rPr>
      </w:pPr>
      <w:r>
        <w:rPr>
          <w:sz w:val="24"/>
          <w:szCs w:val="24"/>
          <w:highlight w:val="none"/>
        </w:rPr>
        <w:t>（二）依法向甲方所在地人民法院起诉。</w:t>
      </w:r>
    </w:p>
    <w:p w14:paraId="7752FE18">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十四、不可抗力</w:t>
      </w:r>
    </w:p>
    <w:p w14:paraId="4E8C5A6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1.如果合同双方因不可抗力而导致合同实施延误或合同无法实施，不应该承担误期赔偿或不能履行合同义务的责任。</w:t>
      </w:r>
    </w:p>
    <w:p w14:paraId="52ECE53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2.本条所述的“不可抗力”系指那些双方不可预见、不可避免、不可克服的客观情况，但不包括双方的违约或疏忽。这些事件包括但不限于:战争、严重火灾、洪水、台风、地震、疫情等。</w:t>
      </w:r>
    </w:p>
    <w:p w14:paraId="4556509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3.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473E0139">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十五、合同修改或变更</w:t>
      </w:r>
    </w:p>
    <w:p w14:paraId="6539AF0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1.如无重大变故，甲乙双方不得擅自变更合同。</w:t>
      </w:r>
    </w:p>
    <w:p w14:paraId="107A4D0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2.如确需变更合同，甲乙双方应签署书面变更协议。变更协议为本合同不可分割的一部分。</w:t>
      </w:r>
    </w:p>
    <w:p w14:paraId="14E4EB83">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十六、合同转让和分包</w:t>
      </w:r>
    </w:p>
    <w:p w14:paraId="75049AC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1.乙方不得以任何形式将合同转包，或部分或全部转让其应履行的合同义务。</w:t>
      </w:r>
    </w:p>
    <w:p w14:paraId="629503F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2.除经甲方事先书面同意外，乙方不得以任何形式将合同分包。</w:t>
      </w:r>
    </w:p>
    <w:p w14:paraId="3A501A99">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十七、适用法律</w:t>
      </w:r>
    </w:p>
    <w:p w14:paraId="0837F03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本合同适用中华人民共和国现行法律、行政法规和规章,如合同条款与法律、行政法规和规章不一致的，按照法律，行政法规和规章修改本合同。</w:t>
      </w:r>
    </w:p>
    <w:p w14:paraId="77C95568">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default"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十八、合同生效和效力</w:t>
      </w:r>
    </w:p>
    <w:p w14:paraId="30B65AA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 xml:space="preserve">1.本合同所有附件均为合同的有效组成部分，合同与附件之间内容应认为是互为补充和解释，但如有模棱两可或互相矛盾之处,以时间在后的文件为准。 </w:t>
      </w:r>
    </w:p>
    <w:p w14:paraId="1267D2C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2.双方可对本合同条款进行补充，以书面形式签订补充协议，补充协议与本合同具有同等法律效力。</w:t>
      </w:r>
    </w:p>
    <w:p w14:paraId="068EE95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3.本合同一式七份，具有同等效力，甲方</w:t>
      </w:r>
      <w:r>
        <w:rPr>
          <w:rFonts w:hint="eastAsia" w:asciiTheme="minorEastAsia" w:hAnsiTheme="minorEastAsia" w:cstheme="minorEastAsia"/>
          <w:b w:val="0"/>
          <w:bCs w:val="0"/>
          <w:color w:val="auto"/>
          <w:kern w:val="2"/>
          <w:sz w:val="24"/>
          <w:szCs w:val="24"/>
          <w:highlight w:val="none"/>
          <w:lang w:val="en-US" w:eastAsia="zh-CN" w:bidi="ar-SA"/>
        </w:rPr>
        <w:t>四</w:t>
      </w:r>
      <w:r>
        <w:rPr>
          <w:rFonts w:hint="eastAsia" w:asciiTheme="minorEastAsia" w:hAnsiTheme="minorEastAsia" w:eastAsiaTheme="minorEastAsia" w:cstheme="minorEastAsia"/>
          <w:b w:val="0"/>
          <w:bCs w:val="0"/>
          <w:color w:val="auto"/>
          <w:kern w:val="2"/>
          <w:sz w:val="24"/>
          <w:szCs w:val="24"/>
          <w:highlight w:val="none"/>
          <w:lang w:val="en-US" w:eastAsia="zh-CN" w:bidi="ar-SA"/>
        </w:rPr>
        <w:t>份，乙方</w:t>
      </w:r>
      <w:r>
        <w:rPr>
          <w:rFonts w:hint="eastAsia" w:asciiTheme="minorEastAsia" w:hAnsiTheme="minorEastAsia" w:cstheme="minorEastAsia"/>
          <w:b w:val="0"/>
          <w:bCs w:val="0"/>
          <w:color w:val="auto"/>
          <w:kern w:val="2"/>
          <w:sz w:val="24"/>
          <w:szCs w:val="24"/>
          <w:highlight w:val="none"/>
          <w:lang w:val="en-US" w:eastAsia="zh-CN" w:bidi="ar-SA"/>
        </w:rPr>
        <w:t>三</w:t>
      </w:r>
      <w:r>
        <w:rPr>
          <w:rFonts w:hint="eastAsia" w:asciiTheme="minorEastAsia" w:hAnsiTheme="minorEastAsia" w:eastAsiaTheme="minorEastAsia" w:cstheme="minorEastAsia"/>
          <w:b w:val="0"/>
          <w:bCs w:val="0"/>
          <w:color w:val="auto"/>
          <w:kern w:val="2"/>
          <w:sz w:val="24"/>
          <w:szCs w:val="24"/>
          <w:highlight w:val="none"/>
          <w:lang w:val="en-US" w:eastAsia="zh-CN" w:bidi="ar-SA"/>
        </w:rPr>
        <w:t>份。合同自双方签字盖章之日起生效。</w:t>
      </w:r>
    </w:p>
    <w:p w14:paraId="07BBF22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cstheme="minorEastAsia"/>
          <w:b w:val="0"/>
          <w:bCs w:val="0"/>
          <w:color w:val="auto"/>
          <w:kern w:val="2"/>
          <w:sz w:val="24"/>
          <w:szCs w:val="24"/>
          <w:highlight w:val="none"/>
          <w:lang w:val="en-US" w:eastAsia="zh-CN" w:bidi="ar-SA"/>
        </w:rPr>
        <w:t>4.</w:t>
      </w:r>
      <w:r>
        <w:rPr>
          <w:rFonts w:hint="eastAsia" w:asciiTheme="minorEastAsia" w:hAnsiTheme="minorEastAsia" w:eastAsiaTheme="minorEastAsia" w:cstheme="minorEastAsia"/>
          <w:b w:val="0"/>
          <w:bCs w:val="0"/>
          <w:color w:val="auto"/>
          <w:kern w:val="2"/>
          <w:sz w:val="24"/>
          <w:szCs w:val="24"/>
          <w:highlight w:val="none"/>
          <w:lang w:val="en-US" w:eastAsia="zh-CN" w:bidi="ar-SA"/>
        </w:rPr>
        <w:t>除本合同和甲乙双方书面签署的补充协议外，其他任何形式的双方约定和往来函件均不具有合同效力，对本项目无约束。</w:t>
      </w:r>
    </w:p>
    <w:p w14:paraId="67621B6D">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十九、合同履行期限</w:t>
      </w:r>
    </w:p>
    <w:p w14:paraId="1B82A4C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sz w:val="24"/>
          <w:szCs w:val="24"/>
          <w:highlight w:val="none"/>
          <w:vertAlign w:val="baseline"/>
          <w:lang w:val="en-US" w:eastAsia="zh-CN"/>
        </w:rPr>
        <w:t>自合同生效之日起至合同全部权利义务履行完毕之日止。</w:t>
      </w:r>
    </w:p>
    <w:p w14:paraId="45B46B4B">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二十、合同签订地</w:t>
      </w:r>
    </w:p>
    <w:p w14:paraId="173DEF0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西安经济技术开发区</w:t>
      </w:r>
    </w:p>
    <w:p w14:paraId="09FBE933">
      <w:pPr>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br w:type="page"/>
      </w:r>
    </w:p>
    <w:p w14:paraId="6EDDA286">
      <w:pPr>
        <w:pStyle w:val="2"/>
        <w:rPr>
          <w:rFonts w:hint="eastAsia"/>
          <w:lang w:val="en-US" w:eastAsia="zh-CN"/>
        </w:rPr>
      </w:pPr>
    </w:p>
    <w:tbl>
      <w:tblPr>
        <w:tblStyle w:val="4"/>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80"/>
        <w:gridCol w:w="4059"/>
      </w:tblGrid>
      <w:tr w14:paraId="0C294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2" w:hRule="atLeast"/>
          <w:jc w:val="center"/>
        </w:trPr>
        <w:tc>
          <w:tcPr>
            <w:tcW w:w="4280" w:type="dxa"/>
            <w:tcBorders>
              <w:tl2br w:val="nil"/>
              <w:tr2bl w:val="nil"/>
            </w:tcBorders>
            <w:vAlign w:val="top"/>
          </w:tcPr>
          <w:p w14:paraId="7F4A297F">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outlineLvl w:val="9"/>
              <w:rPr>
                <w:rFonts w:hint="eastAsia" w:ascii="宋体" w:hAnsi="宋体" w:eastAsia="宋体" w:cs="宋体"/>
                <w:b w:val="0"/>
                <w:bCs w:val="0"/>
                <w:color w:val="auto"/>
                <w:kern w:val="2"/>
                <w:sz w:val="24"/>
                <w:szCs w:val="24"/>
                <w:vertAlign w:val="baseline"/>
                <w:lang w:val="en-US" w:eastAsia="zh-CN" w:bidi="ar-SA"/>
              </w:rPr>
            </w:pPr>
            <w:r>
              <w:rPr>
                <w:rFonts w:hint="eastAsia" w:ascii="宋体" w:hAnsi="宋体" w:eastAsia="宋体" w:cs="宋体"/>
                <w:b w:val="0"/>
                <w:bCs w:val="0"/>
                <w:color w:val="auto"/>
                <w:kern w:val="2"/>
                <w:sz w:val="24"/>
                <w:szCs w:val="24"/>
                <w:vertAlign w:val="baseline"/>
                <w:lang w:val="en-US" w:eastAsia="zh-CN" w:bidi="ar-SA"/>
              </w:rPr>
              <w:t>甲方（盖章）：</w:t>
            </w:r>
          </w:p>
          <w:p w14:paraId="0790C564">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outlineLvl w:val="9"/>
              <w:rPr>
                <w:rFonts w:hint="eastAsia" w:ascii="宋体" w:hAnsi="宋体" w:eastAsia="宋体" w:cs="宋体"/>
                <w:b w:val="0"/>
                <w:bCs w:val="0"/>
                <w:color w:val="auto"/>
                <w:kern w:val="2"/>
                <w:sz w:val="24"/>
                <w:szCs w:val="24"/>
                <w:vertAlign w:val="baseline"/>
                <w:lang w:val="en-US" w:eastAsia="zh-CN" w:bidi="ar-SA"/>
              </w:rPr>
            </w:pPr>
          </w:p>
        </w:tc>
        <w:tc>
          <w:tcPr>
            <w:tcW w:w="4059" w:type="dxa"/>
            <w:tcBorders>
              <w:tl2br w:val="nil"/>
              <w:tr2bl w:val="nil"/>
            </w:tcBorders>
            <w:vAlign w:val="top"/>
          </w:tcPr>
          <w:p w14:paraId="0449688B">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outlineLvl w:val="9"/>
              <w:rPr>
                <w:rFonts w:hint="eastAsia" w:ascii="宋体" w:hAnsi="宋体" w:eastAsia="宋体" w:cs="宋体"/>
                <w:b w:val="0"/>
                <w:bCs w:val="0"/>
                <w:color w:val="auto"/>
                <w:kern w:val="2"/>
                <w:sz w:val="24"/>
                <w:szCs w:val="24"/>
                <w:vertAlign w:val="baseline"/>
                <w:lang w:val="en-US" w:eastAsia="zh-CN" w:bidi="ar-SA"/>
              </w:rPr>
            </w:pPr>
            <w:r>
              <w:rPr>
                <w:rFonts w:hint="eastAsia" w:ascii="宋体" w:hAnsi="宋体" w:eastAsia="宋体" w:cs="宋体"/>
                <w:b w:val="0"/>
                <w:bCs w:val="0"/>
                <w:color w:val="auto"/>
                <w:kern w:val="2"/>
                <w:sz w:val="24"/>
                <w:szCs w:val="24"/>
                <w:vertAlign w:val="baseline"/>
                <w:lang w:val="en-US" w:eastAsia="zh-CN" w:bidi="ar-SA"/>
              </w:rPr>
              <w:t>乙方（盖章）：</w:t>
            </w:r>
          </w:p>
          <w:p w14:paraId="6E45B486">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outlineLvl w:val="9"/>
              <w:rPr>
                <w:rFonts w:hint="eastAsia" w:ascii="宋体" w:hAnsi="宋体" w:eastAsia="宋体" w:cs="宋体"/>
                <w:b w:val="0"/>
                <w:bCs w:val="0"/>
                <w:color w:val="auto"/>
                <w:kern w:val="2"/>
                <w:sz w:val="24"/>
                <w:szCs w:val="24"/>
                <w:vertAlign w:val="baseline"/>
                <w:lang w:val="en-US" w:eastAsia="zh-CN" w:bidi="ar-SA"/>
              </w:rPr>
            </w:pPr>
          </w:p>
        </w:tc>
      </w:tr>
      <w:tr w14:paraId="5B79F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96" w:hRule="atLeast"/>
          <w:jc w:val="center"/>
        </w:trPr>
        <w:tc>
          <w:tcPr>
            <w:tcW w:w="4280" w:type="dxa"/>
            <w:tcBorders>
              <w:tl2br w:val="nil"/>
              <w:tr2bl w:val="nil"/>
            </w:tcBorders>
            <w:vAlign w:val="top"/>
          </w:tcPr>
          <w:p w14:paraId="003D7861">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outlineLvl w:val="9"/>
              <w:rPr>
                <w:rFonts w:hint="eastAsia" w:ascii="宋体" w:hAnsi="宋体" w:eastAsia="宋体" w:cs="宋体"/>
                <w:b w:val="0"/>
                <w:bCs w:val="0"/>
                <w:color w:val="auto"/>
                <w:kern w:val="2"/>
                <w:sz w:val="24"/>
                <w:szCs w:val="24"/>
                <w:vertAlign w:val="baseline"/>
                <w:lang w:val="en-US" w:eastAsia="zh-CN" w:bidi="ar-SA"/>
              </w:rPr>
            </w:pPr>
            <w:r>
              <w:rPr>
                <w:rFonts w:hint="eastAsia" w:ascii="宋体" w:hAnsi="宋体" w:eastAsia="宋体" w:cs="宋体"/>
                <w:b w:val="0"/>
                <w:bCs w:val="0"/>
                <w:color w:val="auto"/>
                <w:kern w:val="2"/>
                <w:sz w:val="24"/>
                <w:szCs w:val="24"/>
                <w:vertAlign w:val="baseline"/>
                <w:lang w:val="en-US" w:eastAsia="zh-CN" w:bidi="ar-SA"/>
              </w:rPr>
              <w:t>法定代表人或其委托人</w:t>
            </w:r>
          </w:p>
          <w:p w14:paraId="24C87E3A">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outlineLvl w:val="9"/>
              <w:rPr>
                <w:rFonts w:hint="eastAsia" w:ascii="宋体" w:hAnsi="宋体" w:eastAsia="宋体" w:cs="宋体"/>
                <w:b w:val="0"/>
                <w:bCs w:val="0"/>
                <w:color w:val="auto"/>
                <w:kern w:val="2"/>
                <w:sz w:val="24"/>
                <w:szCs w:val="24"/>
                <w:vertAlign w:val="baseline"/>
                <w:lang w:val="en-US" w:eastAsia="zh-CN" w:bidi="ar-SA"/>
              </w:rPr>
            </w:pPr>
            <w:r>
              <w:rPr>
                <w:rFonts w:hint="eastAsia" w:ascii="宋体" w:hAnsi="宋体" w:eastAsia="宋体" w:cs="宋体"/>
                <w:b w:val="0"/>
                <w:bCs w:val="0"/>
                <w:color w:val="auto"/>
                <w:kern w:val="2"/>
                <w:sz w:val="24"/>
                <w:szCs w:val="24"/>
                <w:vertAlign w:val="baseline"/>
                <w:lang w:val="en-US" w:eastAsia="zh-CN" w:bidi="ar-SA"/>
              </w:rPr>
              <w:t>（签字或盖章）：</w:t>
            </w:r>
          </w:p>
        </w:tc>
        <w:tc>
          <w:tcPr>
            <w:tcW w:w="4059" w:type="dxa"/>
            <w:tcBorders>
              <w:tl2br w:val="nil"/>
              <w:tr2bl w:val="nil"/>
            </w:tcBorders>
            <w:vAlign w:val="top"/>
          </w:tcPr>
          <w:p w14:paraId="58D1EA6B">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outlineLvl w:val="9"/>
              <w:rPr>
                <w:rFonts w:hint="eastAsia" w:ascii="宋体" w:hAnsi="宋体" w:eastAsia="宋体" w:cs="宋体"/>
                <w:b w:val="0"/>
                <w:bCs w:val="0"/>
                <w:color w:val="auto"/>
                <w:kern w:val="2"/>
                <w:sz w:val="24"/>
                <w:szCs w:val="24"/>
                <w:vertAlign w:val="baseline"/>
                <w:lang w:val="en-US" w:eastAsia="zh-CN" w:bidi="ar-SA"/>
              </w:rPr>
            </w:pPr>
            <w:r>
              <w:rPr>
                <w:rFonts w:hint="eastAsia" w:ascii="宋体" w:hAnsi="宋体" w:eastAsia="宋体" w:cs="宋体"/>
                <w:b w:val="0"/>
                <w:bCs w:val="0"/>
                <w:color w:val="auto"/>
                <w:kern w:val="2"/>
                <w:sz w:val="24"/>
                <w:szCs w:val="24"/>
                <w:vertAlign w:val="baseline"/>
                <w:lang w:val="en-US" w:eastAsia="zh-CN" w:bidi="ar-SA"/>
              </w:rPr>
              <w:t>法定代表人或其委托人</w:t>
            </w:r>
          </w:p>
          <w:p w14:paraId="5E883C56">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outlineLvl w:val="9"/>
              <w:rPr>
                <w:rFonts w:hint="eastAsia" w:ascii="宋体" w:hAnsi="宋体" w:eastAsia="宋体" w:cs="宋体"/>
                <w:b w:val="0"/>
                <w:bCs w:val="0"/>
                <w:color w:val="auto"/>
                <w:kern w:val="2"/>
                <w:sz w:val="24"/>
                <w:szCs w:val="24"/>
                <w:vertAlign w:val="baseline"/>
                <w:lang w:val="en-US" w:eastAsia="zh-CN" w:bidi="ar-SA"/>
              </w:rPr>
            </w:pPr>
            <w:r>
              <w:rPr>
                <w:rFonts w:hint="eastAsia" w:ascii="宋体" w:hAnsi="宋体" w:eastAsia="宋体" w:cs="宋体"/>
                <w:b w:val="0"/>
                <w:bCs w:val="0"/>
                <w:color w:val="auto"/>
                <w:kern w:val="2"/>
                <w:sz w:val="24"/>
                <w:szCs w:val="24"/>
                <w:vertAlign w:val="baseline"/>
                <w:lang w:val="en-US" w:eastAsia="zh-CN" w:bidi="ar-SA"/>
              </w:rPr>
              <w:t>（签字或盖章）：</w:t>
            </w:r>
          </w:p>
        </w:tc>
      </w:tr>
      <w:tr w14:paraId="3D61A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7" w:hRule="exact"/>
          <w:jc w:val="center"/>
        </w:trPr>
        <w:tc>
          <w:tcPr>
            <w:tcW w:w="4280" w:type="dxa"/>
            <w:tcBorders>
              <w:tl2br w:val="nil"/>
              <w:tr2bl w:val="nil"/>
            </w:tcBorders>
            <w:vAlign w:val="top"/>
          </w:tcPr>
          <w:p w14:paraId="5CB475C5">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outlineLvl w:val="9"/>
              <w:rPr>
                <w:rFonts w:hint="eastAsia" w:ascii="宋体" w:hAnsi="宋体" w:eastAsia="宋体" w:cs="宋体"/>
                <w:b w:val="0"/>
                <w:bCs w:val="0"/>
                <w:color w:val="auto"/>
                <w:kern w:val="2"/>
                <w:sz w:val="24"/>
                <w:szCs w:val="24"/>
                <w:vertAlign w:val="baseline"/>
                <w:lang w:val="en-US" w:eastAsia="zh-CN" w:bidi="ar-SA"/>
              </w:rPr>
            </w:pPr>
            <w:r>
              <w:rPr>
                <w:rFonts w:hint="eastAsia" w:ascii="宋体" w:hAnsi="宋体" w:eastAsia="宋体" w:cs="宋体"/>
                <w:b w:val="0"/>
                <w:bCs w:val="0"/>
                <w:color w:val="auto"/>
                <w:kern w:val="2"/>
                <w:sz w:val="24"/>
                <w:szCs w:val="24"/>
                <w:vertAlign w:val="baseline"/>
                <w:lang w:val="en-US" w:eastAsia="zh-CN" w:bidi="ar-SA"/>
              </w:rPr>
              <w:t>地址：</w:t>
            </w:r>
          </w:p>
        </w:tc>
        <w:tc>
          <w:tcPr>
            <w:tcW w:w="4059" w:type="dxa"/>
            <w:tcBorders>
              <w:tl2br w:val="nil"/>
              <w:tr2bl w:val="nil"/>
            </w:tcBorders>
            <w:vAlign w:val="top"/>
          </w:tcPr>
          <w:p w14:paraId="0D07612A">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outlineLvl w:val="9"/>
              <w:rPr>
                <w:rFonts w:hint="default" w:ascii="宋体" w:hAnsi="宋体" w:eastAsia="宋体" w:cs="宋体"/>
                <w:b w:val="0"/>
                <w:bCs w:val="0"/>
                <w:color w:val="auto"/>
                <w:kern w:val="2"/>
                <w:sz w:val="24"/>
                <w:szCs w:val="24"/>
                <w:vertAlign w:val="baseline"/>
                <w:lang w:val="en-US" w:eastAsia="zh-CN" w:bidi="ar-SA"/>
              </w:rPr>
            </w:pPr>
            <w:r>
              <w:rPr>
                <w:rFonts w:hint="eastAsia" w:ascii="宋体" w:hAnsi="宋体" w:eastAsia="宋体" w:cs="宋体"/>
                <w:b w:val="0"/>
                <w:bCs w:val="0"/>
                <w:color w:val="auto"/>
                <w:kern w:val="2"/>
                <w:sz w:val="24"/>
                <w:szCs w:val="24"/>
                <w:vertAlign w:val="baseline"/>
                <w:lang w:val="en-US" w:eastAsia="zh-CN" w:bidi="ar-SA"/>
              </w:rPr>
              <w:t>地址：</w:t>
            </w:r>
          </w:p>
        </w:tc>
      </w:tr>
      <w:tr w14:paraId="2EA08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280" w:type="dxa"/>
            <w:tcBorders>
              <w:tl2br w:val="nil"/>
              <w:tr2bl w:val="nil"/>
            </w:tcBorders>
            <w:vAlign w:val="center"/>
          </w:tcPr>
          <w:p w14:paraId="3C232C2B">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outlineLvl w:val="9"/>
              <w:rPr>
                <w:rFonts w:hint="eastAsia" w:ascii="宋体" w:hAnsi="宋体" w:eastAsia="宋体" w:cs="宋体"/>
                <w:b w:val="0"/>
                <w:bCs w:val="0"/>
                <w:color w:val="auto"/>
                <w:kern w:val="2"/>
                <w:sz w:val="24"/>
                <w:szCs w:val="24"/>
                <w:vertAlign w:val="baseline"/>
                <w:lang w:val="en-US" w:eastAsia="zh-CN" w:bidi="ar-SA"/>
              </w:rPr>
            </w:pPr>
            <w:r>
              <w:rPr>
                <w:rFonts w:hint="eastAsia" w:ascii="宋体" w:hAnsi="宋体" w:eastAsia="宋体" w:cs="宋体"/>
                <w:b w:val="0"/>
                <w:bCs w:val="0"/>
                <w:color w:val="auto"/>
                <w:kern w:val="2"/>
                <w:sz w:val="24"/>
                <w:szCs w:val="24"/>
                <w:vertAlign w:val="baseline"/>
                <w:lang w:val="en-US" w:eastAsia="zh-CN" w:bidi="ar-SA"/>
              </w:rPr>
              <w:t>电话：</w:t>
            </w:r>
          </w:p>
        </w:tc>
        <w:tc>
          <w:tcPr>
            <w:tcW w:w="4059" w:type="dxa"/>
            <w:tcBorders>
              <w:tl2br w:val="nil"/>
              <w:tr2bl w:val="nil"/>
            </w:tcBorders>
            <w:vAlign w:val="center"/>
          </w:tcPr>
          <w:p w14:paraId="1380CD77">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outlineLvl w:val="9"/>
              <w:rPr>
                <w:rFonts w:hint="default" w:ascii="宋体" w:hAnsi="宋体" w:eastAsia="宋体" w:cs="宋体"/>
                <w:b w:val="0"/>
                <w:bCs w:val="0"/>
                <w:color w:val="auto"/>
                <w:kern w:val="2"/>
                <w:sz w:val="24"/>
                <w:szCs w:val="24"/>
                <w:vertAlign w:val="baseline"/>
                <w:lang w:val="en-US" w:eastAsia="zh-CN" w:bidi="ar-SA"/>
              </w:rPr>
            </w:pPr>
            <w:r>
              <w:rPr>
                <w:rFonts w:hint="eastAsia" w:ascii="宋体" w:hAnsi="宋体" w:eastAsia="宋体" w:cs="宋体"/>
                <w:b w:val="0"/>
                <w:bCs w:val="0"/>
                <w:color w:val="auto"/>
                <w:kern w:val="2"/>
                <w:sz w:val="24"/>
                <w:szCs w:val="24"/>
                <w:vertAlign w:val="baseline"/>
                <w:lang w:val="en-US" w:eastAsia="zh-CN" w:bidi="ar-SA"/>
              </w:rPr>
              <w:t>电话：</w:t>
            </w:r>
          </w:p>
        </w:tc>
      </w:tr>
      <w:tr w14:paraId="7779F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2" w:hRule="exact"/>
          <w:jc w:val="center"/>
        </w:trPr>
        <w:tc>
          <w:tcPr>
            <w:tcW w:w="4280" w:type="dxa"/>
            <w:tcBorders>
              <w:tl2br w:val="nil"/>
              <w:tr2bl w:val="nil"/>
            </w:tcBorders>
            <w:vAlign w:val="center"/>
          </w:tcPr>
          <w:p w14:paraId="7C01FA6B">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outlineLvl w:val="9"/>
              <w:rPr>
                <w:rFonts w:hint="default" w:ascii="宋体" w:hAnsi="宋体" w:eastAsia="宋体" w:cs="宋体"/>
                <w:b w:val="0"/>
                <w:bCs w:val="0"/>
                <w:color w:val="auto"/>
                <w:kern w:val="2"/>
                <w:sz w:val="24"/>
                <w:szCs w:val="24"/>
                <w:vertAlign w:val="baseline"/>
                <w:lang w:val="en-US" w:eastAsia="zh-CN" w:bidi="ar-SA"/>
              </w:rPr>
            </w:pPr>
            <w:r>
              <w:rPr>
                <w:rFonts w:hint="eastAsia" w:ascii="宋体" w:hAnsi="宋体" w:eastAsia="宋体" w:cs="宋体"/>
                <w:b w:val="0"/>
                <w:bCs w:val="0"/>
                <w:color w:val="auto"/>
                <w:kern w:val="2"/>
                <w:sz w:val="24"/>
                <w:szCs w:val="24"/>
                <w:vertAlign w:val="baseline"/>
                <w:lang w:val="en-US" w:eastAsia="zh-CN" w:bidi="ar-SA"/>
              </w:rPr>
              <w:t>签订时间：        年    月    日</w:t>
            </w:r>
          </w:p>
        </w:tc>
        <w:tc>
          <w:tcPr>
            <w:tcW w:w="4059" w:type="dxa"/>
            <w:tcBorders>
              <w:tl2br w:val="nil"/>
              <w:tr2bl w:val="nil"/>
            </w:tcBorders>
            <w:vAlign w:val="center"/>
          </w:tcPr>
          <w:p w14:paraId="391EEA39">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outlineLvl w:val="9"/>
              <w:rPr>
                <w:rFonts w:hint="eastAsia" w:ascii="宋体" w:hAnsi="宋体" w:eastAsia="宋体" w:cs="宋体"/>
                <w:b w:val="0"/>
                <w:bCs w:val="0"/>
                <w:color w:val="auto"/>
                <w:kern w:val="2"/>
                <w:sz w:val="24"/>
                <w:szCs w:val="24"/>
                <w:vertAlign w:val="baseline"/>
                <w:lang w:val="en-US" w:eastAsia="zh-CN" w:bidi="ar-SA"/>
              </w:rPr>
            </w:pPr>
            <w:r>
              <w:rPr>
                <w:rFonts w:hint="eastAsia" w:ascii="宋体" w:hAnsi="宋体" w:eastAsia="宋体" w:cs="宋体"/>
                <w:b w:val="0"/>
                <w:bCs w:val="0"/>
                <w:color w:val="auto"/>
                <w:kern w:val="2"/>
                <w:sz w:val="24"/>
                <w:szCs w:val="24"/>
                <w:vertAlign w:val="baseline"/>
                <w:lang w:val="en-US" w:eastAsia="zh-CN" w:bidi="ar-SA"/>
              </w:rPr>
              <w:t>签订时间：        年    月    日</w:t>
            </w:r>
          </w:p>
        </w:tc>
      </w:tr>
    </w:tbl>
    <w:p w14:paraId="5683E554">
      <w:pPr>
        <w:keepLines w:val="0"/>
        <w:pageBreakBefore w:val="0"/>
        <w:kinsoku/>
        <w:wordWrap/>
        <w:overflowPunct/>
        <w:topLinePunct w:val="0"/>
        <w:autoSpaceDN/>
        <w:bidi w:val="0"/>
        <w:adjustRightInd/>
        <w:snapToGrid/>
        <w:spacing w:line="360" w:lineRule="auto"/>
        <w:outlineLvl w:val="9"/>
        <w:rPr>
          <w:rFonts w:hint="eastAsia" w:ascii="宋体" w:hAnsi="宋体" w:eastAsia="宋体" w:cs="宋体"/>
          <w:sz w:val="24"/>
          <w:szCs w:val="24"/>
        </w:rPr>
      </w:pPr>
    </w:p>
    <w:p w14:paraId="5178276A">
      <w:r>
        <w:t xml:space="preserve"> </w:t>
      </w:r>
      <w:r>
        <w:br w:type="textWrapp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4953A8"/>
    <w:rsid w:val="074953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2025-09-05T03:41:00Z</dcterms:created>
  <dc:creator>大黄。</dc:creator>
  <cp:lastModifiedBy>大黄。</cp:lastModifiedBy>
  <dcterms:modified xsi:type="dcterms:W3CDTF">2025-09-05T03:41:26Z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31E68914825A48C4A38F270F8FC9FCA7_11</vt:lpwstr>
  </property>
  <property fmtid="{D5CDD505-2E9C-101B-9397-08002B2CF9AE}" pid="4" name="KSOTemplateDocerSaveRecord">
    <vt:lpwstr>eyJoZGlkIjoiNDQyMzhhNGZlNDZiNmNjZDVlMTQ4MTg2ZDk2ZWViOGEiLCJ1c2VySWQiOiI2ODYzMDg4MjQifQ==</vt:lpwstr>
  </property>
</Properties>
</file>