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版本号：FMY-ZBDL-2025-09820260113001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公安经开分局、交警经开大队等部门办公场所租赁项目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FMY-ZBDL-2025-098</w:t>
      </w:r>
      <w:r>
        <w:br/>
      </w:r>
      <w:r>
        <w:br/>
      </w:r>
      <w:r>
        <w:br/>
      </w:r>
    </w:p>
    <w:p>
      <w:pPr>
        <w:pStyle w:val="null3"/>
        <w:jc w:val="center"/>
        <w:outlineLvl w:val="2"/>
      </w:pPr>
      <w:r>
        <w:rPr>
          <w:rFonts w:ascii="仿宋_GB2312" w:hAnsi="仿宋_GB2312" w:cs="仿宋_GB2312" w:eastAsia="仿宋_GB2312"/>
          <w:sz w:val="28"/>
          <w:b/>
        </w:rPr>
        <w:t>西安经济技术开发区党政办公室</w:t>
      </w:r>
    </w:p>
    <w:p>
      <w:pPr>
        <w:pStyle w:val="null3"/>
        <w:jc w:val="center"/>
        <w:outlineLvl w:val="2"/>
      </w:pPr>
      <w:r>
        <w:rPr>
          <w:rFonts w:ascii="仿宋_GB2312" w:hAnsi="仿宋_GB2312" w:cs="仿宋_GB2312" w:eastAsia="仿宋_GB2312"/>
          <w:sz w:val="28"/>
          <w:b/>
        </w:rPr>
        <w:t>陕西方铭壹工程项目管理有限公司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陕西方铭壹工程项目管理有限公司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西安经济技术开发区党政办公室</w:t>
      </w:r>
      <w:r>
        <w:rPr>
          <w:rFonts w:ascii="仿宋_GB2312" w:hAnsi="仿宋_GB2312" w:cs="仿宋_GB2312" w:eastAsia="仿宋_GB2312"/>
        </w:rPr>
        <w:t>委托，拟对</w:t>
      </w:r>
      <w:r>
        <w:rPr>
          <w:rFonts w:ascii="仿宋_GB2312" w:hAnsi="仿宋_GB2312" w:cs="仿宋_GB2312" w:eastAsia="仿宋_GB2312"/>
        </w:rPr>
        <w:t>公安经开分局、交警经开大队等部门办公场所租赁项目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FMY-ZBDL-2025-098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公安经开分局、交警经开大队等部门办公场所租赁项目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公安经开分局、交警经开大队等部门办公场所租赁，上年度租赁的办公面积为577.05㎡，本次租赁办公面积原则不超过上年度标准，且不低于上年度标准的10%。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和授权代表：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w:t>
      </w:r>
    </w:p>
    <w:p>
      <w:pPr>
        <w:pStyle w:val="null3"/>
      </w:pPr>
      <w:r>
        <w:rPr>
          <w:rFonts w:ascii="仿宋_GB2312" w:hAnsi="仿宋_GB2312" w:cs="仿宋_GB2312" w:eastAsia="仿宋_GB2312"/>
        </w:rPr>
        <w:t>2、信用查询：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3、控股管理关系：单位负责人为同一人或者存在直接控股、管理关系的不同供应商，不得参加同一合同包下的政府采购活动；</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西安经济技术开发区明光路与凤城十二路凯瑞F座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029-83661992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陕西方铭壹工程项目管理有限公司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陕西省西安市新城区长乐中路38号金华新都汇A座7楼701室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杨海蜂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19371441421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由成交供应商支付，参考《国家计委关于印发〈招标代理服务费管理暂行办法〉的通知》（计价格【2002】1980号）、《国家发展和改革委员会办公厅关于招标代理服务收费有关问题的通知》（发改办价格〔2003〕857号）规定下浮5%计取，不足陆仟元按陆仟元收取。 账户信息： 银行户名:陕西方铭壹工程项目管理有限公司 开户银行:中国邮政储蓄银行股份有限公司西安市电子城支行 账户号码: 961006010012728952 转账事由：项目编号＋代理服务费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西安经济技术开发区党政办公室</w:t>
      </w:r>
      <w:r>
        <w:rPr>
          <w:rFonts w:ascii="仿宋_GB2312" w:hAnsi="仿宋_GB2312" w:cs="仿宋_GB2312" w:eastAsia="仿宋_GB2312"/>
        </w:rPr>
        <w:t>和</w:t>
      </w:r>
      <w:r>
        <w:rPr>
          <w:rFonts w:ascii="仿宋_GB2312" w:hAnsi="仿宋_GB2312" w:cs="仿宋_GB2312" w:eastAsia="仿宋_GB2312"/>
        </w:rPr>
        <w:t>陕西方铭壹工程项目管理有限公司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西安经济技术开发区党政办公室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陕西方铭壹工程项目管理有限公司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陕西方铭壹工程项目管理有限公司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联系人：杨海蜂</w:t>
      </w:r>
    </w:p>
    <w:p>
      <w:pPr>
        <w:pStyle w:val="null3"/>
      </w:pPr>
      <w:r>
        <w:rPr>
          <w:rFonts w:ascii="仿宋_GB2312" w:hAnsi="仿宋_GB2312" w:cs="仿宋_GB2312" w:eastAsia="仿宋_GB2312"/>
        </w:rPr>
        <w:t>联系电话：19371441421</w:t>
      </w:r>
    </w:p>
    <w:p>
      <w:pPr>
        <w:pStyle w:val="null3"/>
      </w:pPr>
      <w:r>
        <w:rPr>
          <w:rFonts w:ascii="仿宋_GB2312" w:hAnsi="仿宋_GB2312" w:cs="仿宋_GB2312" w:eastAsia="仿宋_GB2312"/>
        </w:rPr>
        <w:t>地址：陕西省西安市新城区长乐中路38号金华新都汇A座7楼701室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公安经开分局、交警经开大队等部门办公场所租赁，上年度租赁的办公面积为577.05㎡，本次租赁办公面积原则不超过上年度标准，且不低于上年度标准的10%。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727,200.00</w:t>
      </w:r>
    </w:p>
    <w:p>
      <w:pPr>
        <w:pStyle w:val="null3"/>
      </w:pPr>
      <w:r>
        <w:rPr>
          <w:rFonts w:ascii="仿宋_GB2312" w:hAnsi="仿宋_GB2312" w:cs="仿宋_GB2312" w:eastAsia="仿宋_GB2312"/>
        </w:rPr>
        <w:t>采购包最高限价（元）: 727,200.00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公安经开分局交警经开大队等部门办公场所租赁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标的名称：公安经开分局交警经开大队等部门办公场所租赁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 xml:space="preserve">    一、项目概要</w:t>
            </w:r>
          </w:p>
          <w:p>
            <w:pPr>
              <w:pStyle w:val="null3"/>
              <w:ind w:firstLine="480"/>
              <w:jc w:val="left"/>
            </w:pPr>
            <w:r>
              <w:rPr>
                <w:rFonts w:ascii="仿宋_GB2312" w:hAnsi="仿宋_GB2312" w:cs="仿宋_GB2312" w:eastAsia="仿宋_GB2312"/>
                <w:sz w:val="24"/>
                <w:color w:val="000000"/>
              </w:rPr>
              <w:t>公安经开分局、交警经开大队等部门办公场所租赁，上年度租赁的办公面积为</w:t>
            </w:r>
            <w:r>
              <w:rPr>
                <w:rFonts w:ascii="仿宋_GB2312" w:hAnsi="仿宋_GB2312" w:cs="仿宋_GB2312" w:eastAsia="仿宋_GB2312"/>
                <w:sz w:val="24"/>
                <w:color w:val="000000"/>
              </w:rPr>
              <w:t>577.05㎡，本次租赁办公面积原则不超过上年度标准，且不低于上年度标准的10%。</w:t>
            </w:r>
            <w:r>
              <w:rPr>
                <w:rFonts w:ascii="仿宋_GB2312" w:hAnsi="仿宋_GB2312" w:cs="仿宋_GB2312" w:eastAsia="仿宋_GB2312"/>
                <w:sz w:val="24"/>
                <w:color w:val="000000"/>
              </w:rPr>
              <w:t>最终租赁面积以采购人实际入住为准。</w:t>
            </w:r>
          </w:p>
          <w:p>
            <w:pPr>
              <w:pStyle w:val="null3"/>
              <w:ind w:firstLine="480"/>
              <w:jc w:val="left"/>
            </w:pPr>
            <w:r>
              <w:rPr>
                <w:rFonts w:ascii="仿宋_GB2312" w:hAnsi="仿宋_GB2312" w:cs="仿宋_GB2312" w:eastAsia="仿宋_GB2312"/>
                <w:sz w:val="24"/>
                <w:color w:val="000000"/>
              </w:rPr>
              <w:t>二、项目要求</w:t>
            </w:r>
          </w:p>
          <w:p>
            <w:pPr>
              <w:pStyle w:val="null3"/>
              <w:ind w:firstLine="480"/>
              <w:jc w:val="left"/>
            </w:pPr>
            <w:r>
              <w:rPr>
                <w:rFonts w:ascii="仿宋_GB2312" w:hAnsi="仿宋_GB2312" w:cs="仿宋_GB2312" w:eastAsia="仿宋_GB2312"/>
                <w:sz w:val="24"/>
                <w:color w:val="000000"/>
              </w:rPr>
              <w:t>（1）供应商</w:t>
            </w:r>
            <w:r>
              <w:rPr>
                <w:rFonts w:ascii="仿宋_GB2312" w:hAnsi="仿宋_GB2312" w:cs="仿宋_GB2312" w:eastAsia="仿宋_GB2312"/>
                <w:sz w:val="24"/>
                <w:color w:val="000000"/>
              </w:rPr>
              <w:t>拟提供办公场所无产权纠纷，通水、通电；</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拟提供办公场所面积应满足所需求面积。</w:t>
            </w:r>
            <w:r>
              <w:rPr>
                <w:rFonts w:ascii="仿宋_GB2312" w:hAnsi="仿宋_GB2312" w:cs="仿宋_GB2312" w:eastAsia="仿宋_GB2312"/>
                <w:sz w:val="24"/>
                <w:color w:val="000000"/>
              </w:rPr>
              <w:t>（提供书面承诺）</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供应商拟提供租赁房屋基础装修符合《党政机关办公用房建设标准》。（提供书面承诺）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3）采购预算最高限价：727,200.00元（242,400.00元/年，服务期三年）。</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4）租赁费单价上限价：35元/㎡/月。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供应商所填报的单价不得超过租赁费单价上限价（35元/㎡/月），否则按废标处理。 质量要求：建筑质量：符合国家质量和规范标准。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（一）支付方式：租赁费据实结算，最终租赁费=最终实际租赁面积×成交租赁费单价×36个月。租金按半年计收，每半年支付一次。 （二）支付时间：合同订立后，成交供应商于每个计费周期首月向采购人提供与当期租金同等金额的合法有效的增值税普通发票，采购人收到发票后向成交供应商支付租金。 （三）支付方式：银行转账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要求提供服务质量不能满足采购人技术要求，采购人有权终止合同，其至对供应商违约行为进行追究。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1、在中华人民共和国境内注册，依法取得并有效存续的营业执照（含电子营业执照）\事业单位法人证书\民办非企业单位登记证书\非企业专业服务机构执业许可证等。 2、财务状况报告（任选其一）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 3、社会保障资金缴纳证明：提交响应文件截止时间前六个月内至少一个月的社会保障资金缴存单据或社保机构开具的社会保险参保缴费情况证明，单据或证明上应有社保机构或代收机构的公章或业务专用章。（依法不需要缴纳社会保障资金的供应商，应提供相应证明文件，证明其依法不需要缴纳社会保障资金） 4、税收缴纳证明：提交响应文件截止时间前六个月内至少一个月的纳税证明或完税证明（增值税、企业所得税至少提供一种），纳税证明或完税证明上应有代收机构或税务机关的公章或业务专用章。（依法免税的供应商，应提供相应证明文件，证明其依法免税）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提供2023年或2024年度经审计的财务会计报告（包括审计报告、资产负债表、利润表、现金流量表、所有者权益变动表及附注，成立时间至提交投标文件截止时间不足一年的可提供成立后任意时段的资产负债表）。 注：根据“财办〔2022〕32号、财会〔2023〕15号”的规定，审计报告须在注册会计师行业统一监管平台进行自动赋码验证，未赋码的视为审计报告无效。 （2）提交响应文件截止时间六个月内其基本账户开户银行出具的资信证明（附基本存款账户信息）。 （3）信用担保机构出具的投标担保函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法定代表人和授权代表</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单位负责人为同一人或者存在直接控股、管理关系的不同供应商，不得参加同一合同包下的政府采购活动；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商务要求偏离表 附表：分项报价表 采购需求偏离表 中小企业声明函 报价表 响应文件封面 资格证明文件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附表：分项报价表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磋商响应文件加盖供应商的签字或盖章</w:t>
            </w:r>
          </w:p>
        </w:tc>
        <w:tc>
          <w:tcPr>
            <w:tcW w:type="dxa" w:w="1661"/>
          </w:tcPr>
          <w:p>
            <w:pPr>
              <w:pStyle w:val="null3"/>
            </w:pPr>
            <w:r>
              <w:rPr>
                <w:rFonts w:ascii="仿宋_GB2312" w:hAnsi="仿宋_GB2312" w:cs="仿宋_GB2312" w:eastAsia="仿宋_GB2312"/>
              </w:rPr>
              <w:t>响应文件封面 商务要求偏离表 资格证明文件 附表：分项报价表 采购需求偏离表 中小企业声明函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附表：分项报价表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附表：分项报价表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磋商报价与市场价偏离较大，低于成本，形成不正当竞争</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附表：分项报价表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响应文件中技术、服务内容达不到 采购要求，出现重大负偏差，降低 了服务要求技术、服务内容达到采 购要求，未出现重大负偏差，未降低磋商文件要求</w:t>
            </w:r>
          </w:p>
        </w:tc>
        <w:tc>
          <w:tcPr>
            <w:tcW w:type="dxa" w:w="3322"/>
          </w:tcPr>
          <w:p>
            <w:pPr>
              <w:pStyle w:val="null3"/>
            </w:pPr>
            <w:r>
              <w:rPr>
                <w:rFonts w:ascii="仿宋_GB2312" w:hAnsi="仿宋_GB2312" w:cs="仿宋_GB2312" w:eastAsia="仿宋_GB2312"/>
              </w:rPr>
              <w:t>技术、服务内容达到采购要求，未出现重大负偏差，未降低磋商文件要求</w:t>
            </w:r>
          </w:p>
        </w:tc>
        <w:tc>
          <w:tcPr>
            <w:tcW w:type="dxa" w:w="1661"/>
          </w:tcPr>
          <w:p>
            <w:pPr>
              <w:pStyle w:val="null3"/>
            </w:pPr>
            <w:r>
              <w:rPr>
                <w:rFonts w:ascii="仿宋_GB2312" w:hAnsi="仿宋_GB2312" w:cs="仿宋_GB2312" w:eastAsia="仿宋_GB2312"/>
              </w:rPr>
              <w:t>商务要求偏离表 采购需求偏离表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响应文件未附加采购人难以接受的条件</w:t>
            </w:r>
          </w:p>
        </w:tc>
        <w:tc>
          <w:tcPr>
            <w:tcW w:type="dxa" w:w="1661"/>
          </w:tcPr>
          <w:p>
            <w:pPr>
              <w:pStyle w:val="null3"/>
            </w:pPr>
            <w:r>
              <w:rPr>
                <w:rFonts w:ascii="仿宋_GB2312" w:hAnsi="仿宋_GB2312" w:cs="仿宋_GB2312" w:eastAsia="仿宋_GB2312"/>
              </w:rPr>
              <w:t>响应文件封面 商务要求偏离表 资格证明文件 附表：分项报价表 采购需求偏离表 中小企业声明函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供应商提供虚假证明，开具虚假资质，出现虚假应答或故意隐瞒行为</w:t>
            </w:r>
          </w:p>
        </w:tc>
        <w:tc>
          <w:tcPr>
            <w:tcW w:type="dxa" w:w="3322"/>
          </w:tcPr>
          <w:p>
            <w:pPr>
              <w:pStyle w:val="null3"/>
            </w:pPr>
            <w:r>
              <w:rPr>
                <w:rFonts w:ascii="仿宋_GB2312" w:hAnsi="仿宋_GB2312" w:cs="仿宋_GB2312" w:eastAsia="仿宋_GB2312"/>
              </w:rPr>
              <w:t>未提供虚假证明，开具虚假资质，出现虚假应答或故意隐瞒行为</w:t>
            </w:r>
          </w:p>
        </w:tc>
        <w:tc>
          <w:tcPr>
            <w:tcW w:type="dxa" w:w="1661"/>
          </w:tcPr>
          <w:p>
            <w:pPr>
              <w:pStyle w:val="null3"/>
            </w:pPr>
            <w:r>
              <w:rPr>
                <w:rFonts w:ascii="仿宋_GB2312" w:hAnsi="仿宋_GB2312" w:cs="仿宋_GB2312" w:eastAsia="仿宋_GB2312"/>
              </w:rPr>
              <w:t>响应文件封面 商务要求偏离表 资格证明文件 附表：分项报价表 采购需求偏离表 中小企业声明函 残疾人福利性单位声明函 服务方案 标的清单 供应商承诺书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 案件当事人名单、政府采购严重违法失信行为 记录名单及其他不符合《中华人民共和国政府 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所出租房屋的基本情况</w:t>
            </w:r>
          </w:p>
        </w:tc>
        <w:tc>
          <w:tcPr>
            <w:tcW w:type="dxa" w:w="2492"/>
          </w:tcPr>
          <w:p>
            <w:pPr>
              <w:pStyle w:val="null3"/>
            </w:pPr>
            <w:r>
              <w:rPr>
                <w:rFonts w:ascii="仿宋_GB2312" w:hAnsi="仿宋_GB2312" w:cs="仿宋_GB2312" w:eastAsia="仿宋_GB2312"/>
              </w:rPr>
              <w:t>基本情况内容包括但不限于①供应商提供房屋结构图纸，面积合理，符合采购人实际需求；②所出租房屋户型情况，具有办公用房、公共服务用房、附属用房、卫生间等；③供应商提供房屋有独立停车场地及电梯，电梯须提供合格性证明文件；④供应商房屋产权承诺房屋无纠纷、可开具房屋租赁发票等；⑤供应商所出租的房屋具备水、电等基础配套设施。 以上所提供的相关证明材料【包括但不限于房屋的实物图片、房屋平面图、房产证或许可供应商对外出租的相关证明材料】并加盖公章，资料提供齐全，完整得50分;每缺一项内容扣10分，若上述资料存在瑕疵，每出现一处瑕疵扣2.5分，扣完为止。“瑕疵”指资料不完整或缺少关键页，或承诺不适用本项目特性、套用其他项目资料或资料不能满足本项目实际需求等情形。</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交通便利性及周边配套情况</w:t>
            </w:r>
          </w:p>
        </w:tc>
        <w:tc>
          <w:tcPr>
            <w:tcW w:type="dxa" w:w="2492"/>
          </w:tcPr>
          <w:p>
            <w:pPr>
              <w:pStyle w:val="null3"/>
            </w:pPr>
            <w:r>
              <w:rPr>
                <w:rFonts w:ascii="仿宋_GB2312" w:hAnsi="仿宋_GB2312" w:cs="仿宋_GB2312" w:eastAsia="仿宋_GB2312"/>
              </w:rPr>
              <w:t>①根据供应商拟租赁的房屋交通便利性；②拟租赁的房屋周边配套情况进行赋分： 交通便利性：以西安市经济技术开发区管理委员会为中心，出租房屋距离西安市经济技术开发区管理委员会距离8公里以内的，得基本分5分；距离每增加1公里扣1分（距离增加不足1公里按1公里计算），扣完为止。 周边配套：提供房屋周边配套情况，周边配套成熟、能满足采购人需求得5分；周边配套一般、基本能满足采购人需求得3分；周边配套不成熟、不能满足采购人需求或未提供不得分； 注：供应商应提供百度地图或高德地图上交通情况和周边配套设施情况的截图等证明材料及盖章公章，不提供不得分。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租赁期间所出租房屋的设施的维修和保养服务方案</w:t>
            </w:r>
          </w:p>
        </w:tc>
        <w:tc>
          <w:tcPr>
            <w:tcW w:type="dxa" w:w="2492"/>
          </w:tcPr>
          <w:p>
            <w:pPr>
              <w:pStyle w:val="null3"/>
            </w:pPr>
            <w:r>
              <w:rPr>
                <w:rFonts w:ascii="仿宋_GB2312" w:hAnsi="仿宋_GB2312" w:cs="仿宋_GB2312" w:eastAsia="仿宋_GB2312"/>
              </w:rPr>
              <w:t>租赁期间所出租房屋的设施的维修和保养的服务方案，须包含以下内容①房屋主体结构；②给排水管道和电力设施设备③取暖制冷设施设备。 以上内容专门针对本项目且阐述明晰、全面、合理得15分;每缺一项内容扣5分，若上述内容存在瑕疵，每出现一处瑕疵扣1分，扣完为止。“瑕疵”指内容明显错误，或内容不完整或缺少关键点，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租赁期服务承诺</w:t>
            </w:r>
          </w:p>
        </w:tc>
        <w:tc>
          <w:tcPr>
            <w:tcW w:type="dxa" w:w="2492"/>
          </w:tcPr>
          <w:p>
            <w:pPr>
              <w:pStyle w:val="null3"/>
            </w:pPr>
            <w:r>
              <w:rPr>
                <w:rFonts w:ascii="仿宋_GB2312" w:hAnsi="仿宋_GB2312" w:cs="仿宋_GB2312" w:eastAsia="仿宋_GB2312"/>
              </w:rPr>
              <w:t>租赁期服务承诺包括①供应商与采购人工作配合的保障措施及工作计划；②供应商提供应急预案，包括但不限于租赁区域停水停电近年记录，停水停电应急预案和应急设备等。 以上内容专门针对本项目且阐述明晰、全面、合理得10分;每缺一项内容扣5分，若上述内容存在瑕疵，每出现一处瑕疵扣1分，扣完为止。“瑕疵”指内容明显错误，或内容不完整或缺少关键点，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供应商需提供2022年1月1日以来至今（以合同签订时间为准）类似项目合同，每提供一个得2.5分，最高5分。 注：需提供合同首页、内容页和双方盖章页。以合同为准，内容不清晰，或者资料不全的，不得分。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详见附件：附表：分项报价表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