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版本号：FMY-ZBDL-2025-09920260113001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公安经开分局、交警经开大队等部门办公场所物业服务项目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FMY-ZBDL-2025-099</w:t>
      </w:r>
      <w:r>
        <w:br/>
      </w:r>
      <w:r>
        <w:br/>
      </w:r>
      <w:r>
        <w:br/>
      </w:r>
    </w:p>
    <w:p>
      <w:pPr>
        <w:pStyle w:val="null3"/>
        <w:jc w:val="center"/>
        <w:outlineLvl w:val="2"/>
      </w:pPr>
      <w:r>
        <w:rPr>
          <w:rFonts w:ascii="仿宋_GB2312" w:hAnsi="仿宋_GB2312" w:cs="仿宋_GB2312" w:eastAsia="仿宋_GB2312"/>
          <w:sz w:val="28"/>
          <w:b/>
        </w:rPr>
        <w:t>西安经济技术开发区党政办公室</w:t>
      </w:r>
    </w:p>
    <w:p>
      <w:pPr>
        <w:pStyle w:val="null3"/>
        <w:jc w:val="center"/>
        <w:outlineLvl w:val="2"/>
      </w:pPr>
      <w:r>
        <w:rPr>
          <w:rFonts w:ascii="仿宋_GB2312" w:hAnsi="仿宋_GB2312" w:cs="仿宋_GB2312" w:eastAsia="仿宋_GB2312"/>
          <w:sz w:val="28"/>
          <w:b/>
        </w:rPr>
        <w:t>陕西方铭壹工程项目管理有限公司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陕西方铭壹工程项目管理有限公司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西安经济技术开发区党政办公室</w:t>
      </w:r>
      <w:r>
        <w:rPr>
          <w:rFonts w:ascii="仿宋_GB2312" w:hAnsi="仿宋_GB2312" w:cs="仿宋_GB2312" w:eastAsia="仿宋_GB2312"/>
        </w:rPr>
        <w:t>委托，拟对</w:t>
      </w:r>
      <w:r>
        <w:rPr>
          <w:rFonts w:ascii="仿宋_GB2312" w:hAnsi="仿宋_GB2312" w:cs="仿宋_GB2312" w:eastAsia="仿宋_GB2312"/>
        </w:rPr>
        <w:t>公安经开分局、交警经开大队等部门办公场所物业服务项目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FMY-ZBDL-2025-099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公安经开分局、交警经开大队等部门办公场所物业服务项目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安经开分局、交警经开大队等部门上年度租赁的办公面积为577.05㎡。本次拟租赁办公面积原则不超过上年度标准，且不低于上年度标准的10%。为保障其工作及时、顺利开展，现提前启动该办公场所的物业服务采购，最终服务地点及服务面积以本次办公场所租赁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和授权代表：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w:t>
      </w:r>
    </w:p>
    <w:p>
      <w:pPr>
        <w:pStyle w:val="null3"/>
      </w:pPr>
      <w:r>
        <w:rPr>
          <w:rFonts w:ascii="仿宋_GB2312" w:hAnsi="仿宋_GB2312" w:cs="仿宋_GB2312" w:eastAsia="仿宋_GB2312"/>
        </w:rPr>
        <w:t>2、信用查询：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3、控股管理关系：单位负责人为同一人或者存在直接控股、管理关系的不同供应商，不得参加同一合同包下的政府采购活动；</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西安经济技术开发区明光路与凤城十二路凯瑞F座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029-83661992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陕西方铭壹工程项目管理有限公司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陕西省西安市新城区长乐中路38号金华新都汇A座7楼701室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杨海蜂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19371441421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由成交供应商支付，参考《国家计委关于印发〈招标代理服务费管理暂行办法〉的通知》（计价格【2002】1980号）、《国家发展和改革委员会办公厅关于招标代理服务收费有关问题的通知》（发改办价格〔2003〕857号）规定下浮5%计取，不足陆仟元按陆仟元收取。 账户信息： 银行户名:陕西方铭壹工程项目管理有限公司 开户银行:中国邮政储蓄银行股份有限公司西安市电子城支行 账户号码: 961006010012728952 转账事由：项目编号＋代理服务费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西安经济技术开发区党政办公室</w:t>
      </w:r>
      <w:r>
        <w:rPr>
          <w:rFonts w:ascii="仿宋_GB2312" w:hAnsi="仿宋_GB2312" w:cs="仿宋_GB2312" w:eastAsia="仿宋_GB2312"/>
        </w:rPr>
        <w:t>和</w:t>
      </w:r>
      <w:r>
        <w:rPr>
          <w:rFonts w:ascii="仿宋_GB2312" w:hAnsi="仿宋_GB2312" w:cs="仿宋_GB2312" w:eastAsia="仿宋_GB2312"/>
        </w:rPr>
        <w:t>陕西方铭壹工程项目管理有限公司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西安经济技术开发区党政办公室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陕西方铭壹工程项目管理有限公司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陕西方铭壹工程项目管理有限公司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联系人：杨海蜂</w:t>
      </w:r>
    </w:p>
    <w:p>
      <w:pPr>
        <w:pStyle w:val="null3"/>
      </w:pPr>
      <w:r>
        <w:rPr>
          <w:rFonts w:ascii="仿宋_GB2312" w:hAnsi="仿宋_GB2312" w:cs="仿宋_GB2312" w:eastAsia="仿宋_GB2312"/>
        </w:rPr>
        <w:t>联系电话：19371441421</w:t>
      </w:r>
    </w:p>
    <w:p>
      <w:pPr>
        <w:pStyle w:val="null3"/>
      </w:pPr>
      <w:r>
        <w:rPr>
          <w:rFonts w:ascii="仿宋_GB2312" w:hAnsi="仿宋_GB2312" w:cs="仿宋_GB2312" w:eastAsia="仿宋_GB2312"/>
        </w:rPr>
        <w:t>地址：陕西省西安市新城区长乐中路38号金华新都汇A座7楼701室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经开分局、交警经开大队等部门上年度租赁的办公面积为577.05㎡。本次拟租赁办公面积原则不超过上年度标准，且不低于上年度标准的10%。为保障其工作及时、顺利开展，现提前启动该办公场所的物业服务采购，最终服务地点及服务面积以本次办公场所租赁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831,000.00</w:t>
      </w:r>
    </w:p>
    <w:p>
      <w:pPr>
        <w:pStyle w:val="null3"/>
      </w:pPr>
      <w:r>
        <w:rPr>
          <w:rFonts w:ascii="仿宋_GB2312" w:hAnsi="仿宋_GB2312" w:cs="仿宋_GB2312" w:eastAsia="仿宋_GB2312"/>
        </w:rPr>
        <w:t>采购包最高限价（元）: 831,000.00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公安经开分局交警经开大队等部门办公场所物业服务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标的名称：公安经开分局交警经开大队等部门办公场所物业服务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60" w:firstLine="36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项目概要</w:t>
            </w:r>
          </w:p>
          <w:p>
            <w:pPr>
              <w:pStyle w:val="null3"/>
              <w:ind w:firstLine="480"/>
              <w:jc w:val="left"/>
            </w:pPr>
            <w:r>
              <w:rPr>
                <w:rFonts w:ascii="仿宋_GB2312" w:hAnsi="仿宋_GB2312" w:cs="仿宋_GB2312" w:eastAsia="仿宋_GB2312"/>
                <w:sz w:val="24"/>
                <w:color w:val="000000"/>
              </w:rPr>
              <w:t>公安经开分局、交警经开大队等部门上年度租赁的办公面积为</w:t>
            </w:r>
            <w:r>
              <w:rPr>
                <w:rFonts w:ascii="仿宋_GB2312" w:hAnsi="仿宋_GB2312" w:cs="仿宋_GB2312" w:eastAsia="仿宋_GB2312"/>
                <w:sz w:val="24"/>
                <w:color w:val="000000"/>
              </w:rPr>
              <w:t>577.05㎡。本次拟租赁办公面积原则不超过上年度标准，且不低于上年度标准的10%。为保障其工作及时、顺利开展，现提前启动该办公场所的物业服务采购，最终服务地点及服务面积以本次办公场所租赁为准。</w:t>
            </w:r>
          </w:p>
          <w:p>
            <w:pPr>
              <w:pStyle w:val="null3"/>
              <w:ind w:left="60" w:firstLine="36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项目要求</w:t>
            </w:r>
          </w:p>
          <w:p>
            <w:pPr>
              <w:pStyle w:val="null3"/>
              <w:ind w:firstLine="480"/>
              <w:jc w:val="left"/>
            </w:pPr>
            <w:r>
              <w:rPr>
                <w:rFonts w:ascii="仿宋_GB2312" w:hAnsi="仿宋_GB2312" w:cs="仿宋_GB2312" w:eastAsia="仿宋_GB2312"/>
                <w:sz w:val="24"/>
                <w:color w:val="000000"/>
              </w:rPr>
              <w:t>为保障公安经开分局、交警经开大队等部门工作正常开展，现采购物业公司提供物业服务，服务期</w:t>
            </w:r>
            <w:r>
              <w:rPr>
                <w:rFonts w:ascii="仿宋_GB2312" w:hAnsi="仿宋_GB2312" w:cs="仿宋_GB2312" w:eastAsia="仿宋_GB2312"/>
                <w:sz w:val="24"/>
                <w:color w:val="000000"/>
              </w:rPr>
              <w:t>3年。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1）采购预算最高限价：831,000.00元（277,000.00元/年，服务期三年）。</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2）采购单价上限价：40元/㎡/月(包含基础物业费、水电费、空调暖气费等）。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对本项目所配备人员数量合理，资质符合要求，经验丰富。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供应商所填报的单价不得超过采购单价上限价（40元/㎡/月(包含基础物业费、水电费、空调暖气费等），否则按废标处理。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（一）支付方式：服务费据实结算，最终服务费=最终实际服务面积×成交服务单价×36个月。服务费按季度计收，每季度支付一次。 （二）支付时间：合同订立后，成交供应商于每个计费周期首月向采购人提供与当期租金同等金额的合法有效的增值税普通发票，采购人收到发票后向成交供应商支付租金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要求提供服务质量不能满足采购人技术要求，采购人有权终止合同，其至对供应商违约行为进行追究。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1、在中华人民共和国境内注册，依法取得并有效存续的营业执照（含电子营业执照）\事业单位法人证书\民办非企业单位登记证书\非企业专业服务机构执业许可证等。 2、财务状况报告（任选其一）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 3、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供应商，应提供相应证明文件，证明其依法不需要缴纳社会保障资金） 4、税收缴纳证明：提交响应文件截止时间前六个月内至少一个月的纳税证明或完税证明（增值税、企业所得税至少提供一种），纳税证明或完税证明上应有代收机构或税务机关的公章或业务专用章。（依法免税的供应商，应提供相应证明文件，证明其依法免税）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法定代表人和授权代表</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单位负责人为同一人或者存在直接控股、管理关系的不同供应商，不得参加同一合同包下的政府采购活动；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商务要求偏离表 附表：分项报价表 采购需求偏离表 中小企业声明函 报价表 响应文件封面 资格证明文件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附表：分项报价表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磋商响应文件加盖供应商的签字或盖章</w:t>
            </w:r>
          </w:p>
        </w:tc>
        <w:tc>
          <w:tcPr>
            <w:tcW w:type="dxa" w:w="1661"/>
          </w:tcPr>
          <w:p>
            <w:pPr>
              <w:pStyle w:val="null3"/>
            </w:pPr>
            <w:r>
              <w:rPr>
                <w:rFonts w:ascii="仿宋_GB2312" w:hAnsi="仿宋_GB2312" w:cs="仿宋_GB2312" w:eastAsia="仿宋_GB2312"/>
              </w:rPr>
              <w:t>响应文件封面 商务要求偏离表 资格证明文件 附表：分项报价表 采购需求偏离表 中小企业声明函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附表：分项报价表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附表：分项报价表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磋商报价与市场价偏离较大，低于成本，形成不正当竞争</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附表：分项报价表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响应文件中技术、服务内容达不到 采购要求，出现重大负偏差，降低 了服务要求技术、服务内容达到采 购要求，未出现重大负偏差，未降低磋商文件要求</w:t>
            </w:r>
          </w:p>
        </w:tc>
        <w:tc>
          <w:tcPr>
            <w:tcW w:type="dxa" w:w="3322"/>
          </w:tcPr>
          <w:p>
            <w:pPr>
              <w:pStyle w:val="null3"/>
            </w:pPr>
            <w:r>
              <w:rPr>
                <w:rFonts w:ascii="仿宋_GB2312" w:hAnsi="仿宋_GB2312" w:cs="仿宋_GB2312" w:eastAsia="仿宋_GB2312"/>
              </w:rPr>
              <w:t>技术、服务内容达到采购要求，未出现重大负偏差，未降低磋商文件要求</w:t>
            </w:r>
          </w:p>
        </w:tc>
        <w:tc>
          <w:tcPr>
            <w:tcW w:type="dxa" w:w="1661"/>
          </w:tcPr>
          <w:p>
            <w:pPr>
              <w:pStyle w:val="null3"/>
            </w:pPr>
            <w:r>
              <w:rPr>
                <w:rFonts w:ascii="仿宋_GB2312" w:hAnsi="仿宋_GB2312" w:cs="仿宋_GB2312" w:eastAsia="仿宋_GB2312"/>
              </w:rPr>
              <w:t>商务要求偏离表 采购需求偏离表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响应文件未附加采购人难以接受的条件</w:t>
            </w:r>
          </w:p>
        </w:tc>
        <w:tc>
          <w:tcPr>
            <w:tcW w:type="dxa" w:w="1661"/>
          </w:tcPr>
          <w:p>
            <w:pPr>
              <w:pStyle w:val="null3"/>
            </w:pPr>
            <w:r>
              <w:rPr>
                <w:rFonts w:ascii="仿宋_GB2312" w:hAnsi="仿宋_GB2312" w:cs="仿宋_GB2312" w:eastAsia="仿宋_GB2312"/>
              </w:rPr>
              <w:t>响应文件封面 商务要求偏离表 资格证明文件 附表：分项报价表 采购需求偏离表 中小企业声明函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供应商提供虚假证明，开具虚假资质，出现虚假应答或故意隐瞒行为</w:t>
            </w:r>
          </w:p>
        </w:tc>
        <w:tc>
          <w:tcPr>
            <w:tcW w:type="dxa" w:w="3322"/>
          </w:tcPr>
          <w:p>
            <w:pPr>
              <w:pStyle w:val="null3"/>
            </w:pPr>
            <w:r>
              <w:rPr>
                <w:rFonts w:ascii="仿宋_GB2312" w:hAnsi="仿宋_GB2312" w:cs="仿宋_GB2312" w:eastAsia="仿宋_GB2312"/>
              </w:rPr>
              <w:t>未提供虚假证明，开具虚假资质，出现虚假应答或故意隐瞒行为</w:t>
            </w:r>
          </w:p>
        </w:tc>
        <w:tc>
          <w:tcPr>
            <w:tcW w:type="dxa" w:w="1661"/>
          </w:tcPr>
          <w:p>
            <w:pPr>
              <w:pStyle w:val="null3"/>
            </w:pPr>
            <w:r>
              <w:rPr>
                <w:rFonts w:ascii="仿宋_GB2312" w:hAnsi="仿宋_GB2312" w:cs="仿宋_GB2312" w:eastAsia="仿宋_GB2312"/>
              </w:rPr>
              <w:t>响应文件封面 商务要求偏离表 资格证明文件 附表：分项报价表 采购需求偏离表 中小企业声明函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 案件当事人名单、政府采购严重违法失信行为 记录名单及其他不符合《中华人民共和国政府 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物业服务管理方案</w:t>
            </w:r>
          </w:p>
        </w:tc>
        <w:tc>
          <w:tcPr>
            <w:tcW w:type="dxa" w:w="2492"/>
          </w:tcPr>
          <w:p>
            <w:pPr>
              <w:pStyle w:val="null3"/>
            </w:pPr>
            <w:r>
              <w:rPr>
                <w:rFonts w:ascii="仿宋_GB2312" w:hAnsi="仿宋_GB2312" w:cs="仿宋_GB2312" w:eastAsia="仿宋_GB2312"/>
              </w:rPr>
              <w:t>供应商针对本项目提供物业服务管理方案，方案内容包括但不限于①公司管理制度②岗位管理制度③人员培训方案④工作流程及标准⑤人员聘用标准等。 以上5项内容全面详细、逻辑条理清晰、操作细节明确且符合本项目采购需求，能有效保障本项目实施的计15分，每有一项方案缺失扣3分，每一项方案内容存在缺陷，按以下说明扣分。 说明：缺陷是指 ①内容不合理、虽有内容但内容稀疏、不完善、存在不适用项目实际情况的情形且内容表述前后不一致，扣1.5分； 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供应商针对本项目提供保洁服务方案，满足磋商文件要求，包括但不限于①服务范围内的清洁、保洁、消毒、垃圾外运服务的工作内容②岗位设置、人员安排及职责分工③考核标准及方案等。 以上3项内容全面详细、逻辑条理清晰、操作细节明确且符合本项目采购需求，能有效保障本项目实施的计9分，每有一项方案缺失扣3分，每一项方案内容存在缺陷，按以下说明扣分。 说明：缺陷是指 ①内容不合理、虽有内容但内容稀疏、不完善、存在不适用项目实际情况的情形且内容表述前后不一致，扣1.5分； 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日常维修服务方案</w:t>
            </w:r>
          </w:p>
        </w:tc>
        <w:tc>
          <w:tcPr>
            <w:tcW w:type="dxa" w:w="2492"/>
          </w:tcPr>
          <w:p>
            <w:pPr>
              <w:pStyle w:val="null3"/>
            </w:pPr>
            <w:r>
              <w:rPr>
                <w:rFonts w:ascii="仿宋_GB2312" w:hAnsi="仿宋_GB2312" w:cs="仿宋_GB2312" w:eastAsia="仿宋_GB2312"/>
              </w:rPr>
              <w:t>供应商针对本项目提供日常维修服务方案，满足磋商文件要求，包括但不限于①服务范围内的公用设备维修、水电设施维修、日常维修的工作内容②岗位设置、人员安排及职责分工③考核标准及方案等。 以上3项内容全面详细、逻辑条理清晰、操作细节明确且符合本项目采购需求，能有效保障本项目实施的计12分，每有一项方案缺失扣4分，每一项方案内容存在缺陷，按以下说明扣分。 说明：缺陷是指 ①内容不合理、虽有内容但内容稀疏、不完善、存在不适用项目实际情况的情形且内容表述前后不一致，扣2分； ②涉及的规范及标准错误、地点区域错误、存在与本项目无关的内容、语义描述不清、存在影响项目履约质量的情况等任意一种情形，扣2分。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供应商根据本项目特点制定应急方案，包括但不限于：①电梯困人②停电、停水③火灾、水浸、消防④重大突发公共安全危机事件。 以上4项内容全面详细、逻辑条理清晰、操作细节明确且符合本项目采购需求，能有效保障本项目实施的计12分，每有一项方案缺失扣3分，每一项方案内容存在缺陷，按以下说明扣分。 说明：缺陷是指 ①内容不合理、虽有内容但内容稀疏、不完善、存在不适用项目实际情况的情形且内容表述前后不一致，扣1.5分； 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服务人员组织架构</w:t>
            </w:r>
          </w:p>
        </w:tc>
        <w:tc>
          <w:tcPr>
            <w:tcW w:type="dxa" w:w="2492"/>
          </w:tcPr>
          <w:p>
            <w:pPr>
              <w:pStyle w:val="null3"/>
            </w:pPr>
            <w:r>
              <w:rPr>
                <w:rFonts w:ascii="仿宋_GB2312" w:hAnsi="仿宋_GB2312" w:cs="仿宋_GB2312" w:eastAsia="仿宋_GB2312"/>
              </w:rPr>
              <w:t>供应商针对本项目提供物业服务人员组织架构。 人员职责分工明确、从业经验丰富、配置合理计12分； 人员职责分工基本明确、从业经验比较丰富、配置比较合理计8分； 人员职责分工简单、从业经验不足、配置一般计4分；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拟投入的设备工具</w:t>
            </w:r>
          </w:p>
        </w:tc>
        <w:tc>
          <w:tcPr>
            <w:tcW w:type="dxa" w:w="2492"/>
          </w:tcPr>
          <w:p>
            <w:pPr>
              <w:pStyle w:val="null3"/>
            </w:pPr>
            <w:r>
              <w:rPr>
                <w:rFonts w:ascii="仿宋_GB2312" w:hAnsi="仿宋_GB2312" w:cs="仿宋_GB2312" w:eastAsia="仿宋_GB2312"/>
              </w:rPr>
              <w:t>根据各供应商拟投入的设备工具、劳保用品、人员工作服装、清洁工具、通讯工具等的配备情况等方面进行打分。 ①所投入的设备工具种类齐全、数量充足，满足物业需要、能及时补充及更换的计8分； ②所投入的设备工具种类笼统简单，基本满足项目实施整体安排的计4分； ③所投入的设备工具种类单一，无法满足项目实施整体安排的计2分；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①横向对比各供应商服务承诺，承诺事项内容明确、具体可行、操作性强的计8分； ②承诺内容不完善、内容表述简单的计4分；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供应商结合本项目的实际情况，提出有利于更好的为采购人服务的建议。 ①建议内容明确、具体可行、操作性强的计8分； ②建议内容不完整，操作性一般的计4分；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供应商需提供2022年1月1日以来至今（以合同签订时间为准）类似项目合同，每提供一个计2分，最高6分。 （注：需提供合同首页、内容页和双方盖章页。以合同为准，内容不清晰，或者资料不全的不计分）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详见附件：附表：分项报价表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