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版本号：SXZHZC2025-CS31220260113001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校园文化建设项目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SXZHZC2025-CS312</w:t>
      </w:r>
      <w:r>
        <w:br/>
      </w:r>
      <w:r>
        <w:br/>
      </w:r>
      <w:r>
        <w:br/>
      </w:r>
    </w:p>
    <w:p>
      <w:pPr>
        <w:pStyle w:val="null3"/>
        <w:jc w:val="center"/>
        <w:outlineLvl w:val="2"/>
      </w:pPr>
      <w:r>
        <w:rPr>
          <w:rFonts w:ascii="仿宋_GB2312" w:hAnsi="仿宋_GB2312" w:cs="仿宋_GB2312" w:eastAsia="仿宋_GB2312"/>
          <w:sz w:val="28"/>
          <w:b/>
        </w:rPr>
        <w:t>西安市经开第六学校</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西安市经开第六学校</w:t>
      </w:r>
      <w:r>
        <w:rPr>
          <w:rFonts w:ascii="仿宋_GB2312" w:hAnsi="仿宋_GB2312" w:cs="仿宋_GB2312" w:eastAsia="仿宋_GB2312"/>
        </w:rPr>
        <w:t>委托，拟对</w:t>
      </w:r>
      <w:r>
        <w:rPr>
          <w:rFonts w:ascii="仿宋_GB2312" w:hAnsi="仿宋_GB2312" w:cs="仿宋_GB2312" w:eastAsia="仿宋_GB2312"/>
        </w:rPr>
        <w:t>校园文化建设项目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SXZHZC2025-CS312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校园文化建设项目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校园文化建设。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采购包1（校园文化建设）：属于专门面向中小企业采购。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2、供应商资质要求：供应商具备建设部门颁发的建筑装修装饰工程专业承包二级及以上资质，且具有有效的安全生产许可证；</w:t>
      </w:r>
    </w:p>
    <w:p>
      <w:pPr>
        <w:pStyle w:val="null3"/>
      </w:pPr>
      <w:r>
        <w:rPr>
          <w:rFonts w:ascii="仿宋_GB2312" w:hAnsi="仿宋_GB2312" w:cs="仿宋_GB2312" w:eastAsia="仿宋_GB2312"/>
        </w:rPr>
        <w:t>3、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4、拟派项目负责人资质和专业要求 ：拟派项目经理具备建筑工程专业二级及以上注册建造师执业资格且在本单位注册，具有有效的安全生产考核合格证，且未担任其他在建工程项目的项目经理（提供无在建承诺书）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西安市经开第六学校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西安市未央区凤城一路1号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029-86522555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采购包1：300,999.71元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代理服务费收费标准：定额收取人民币捌仟元整（¥8000.00元）。成交供应商在领取成交通知书前，须向采购代理机构一次性支付招标代理服务费。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西安市经开第六学校</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西安市经开第六学校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西安市经开第六学校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联系人：程康 张婉莹 徐浩</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300,999.71</w:t>
      </w:r>
    </w:p>
    <w:p>
      <w:pPr>
        <w:pStyle w:val="null3"/>
      </w:pPr>
      <w:r>
        <w:rPr>
          <w:rFonts w:ascii="仿宋_GB2312" w:hAnsi="仿宋_GB2312" w:cs="仿宋_GB2312" w:eastAsia="仿宋_GB2312"/>
        </w:rPr>
        <w:t>采购包最高限价（元）: 300,999.71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校园文化建设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300,999.71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标的名称：校园文化建设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为满足教育教学需求，计划对学校公共区域进行校园文化建设，营造文化氛围，促进学习气氛。具体</w:t>
            </w:r>
            <w:r>
              <w:rPr>
                <w:rFonts w:ascii="仿宋_GB2312" w:hAnsi="仿宋_GB2312" w:cs="仿宋_GB2312" w:eastAsia="仿宋_GB2312"/>
                <w:sz w:val="21"/>
              </w:rPr>
              <w:t>技术要求及工程量清单详见附件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工期：</w:t>
            </w:r>
            <w:r>
              <w:rPr>
                <w:rFonts w:ascii="仿宋_GB2312" w:hAnsi="仿宋_GB2312" w:cs="仿宋_GB2312" w:eastAsia="仿宋_GB2312"/>
                <w:sz w:val="21"/>
              </w:rPr>
              <w:t>30日历天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质保期：自本项目竣工验收合格之日起二年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3、由于全文为文件模板固定格式，本项目仍需要提供已标价工程量清单。 本项目供应商在首次提交的响应文件中的报价（即首次报价）应按磋商文件及工程量清单编制要求，逐一列出报价的构成及明细，并提供已标价工程量清单。已标价工程量清单的扉页（仅指投标总价扉页）应由在工程造价咨询企业的造价人员签字并盖执业印章。供应商提交的已标价工程量清单应符合本项目工程量清单以及清单说明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供应商具备建设部门颁发的建筑装修装饰工程专业承包二级及以上资质，且具有有效的安全生产许可证；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针对本项目制定的施工方案与技术措施包含：①对项目总体概况表述和管理思路②施工部署及措施③对项目主要及关键方案的表述④施工平面布置。方案合理完善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供应商针对本项目制定的质量管理体系与措施包含：①质量管理目标②管理机构职责分工③质量管理制度④质量保证措施。方案合理完整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供应商针对本项目制定的安全管理体系与措施包含：①安全管理目标②安全管理机构职责分工③安全管理制度④安全保证措施。方案全面、有效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供应商针对本项目制定的环境保护管理体系与措施包含：①环境保护管理目标②环境保护管理机构职责分工③环境保护管理制度④环境保护保证措施。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供应商针对本项目制定的工程进度计划与保证措施包含：①总工期及节点工期安排②施工进度计划安排③进度保证措施。方案合理完整的计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不合理的每项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目制定资源配备计划包含：①劳动力计划②主要材料供应计划③施工机械设备配备计划④资源调配计划。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本项目提供的服务承诺包含：①施工过程中的相关承诺②投入材料质量承诺③质量保修期服务承诺④服务响应时间⑤服务响应措施。服务承诺合理、可行的计10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11月以来类似项目业绩；每提供1份计2分，最高得10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