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210F264">
      <w:pPr>
        <w:keepNext w:val="0"/>
        <w:keepLines w:val="0"/>
        <w:widowControl/>
        <w:suppressLineNumbers w:val="0"/>
        <w:jc w:val="center"/>
        <w:rPr>
          <w:rFonts w:hint="eastAsia" w:ascii="宋体" w:hAnsi="宋体" w:eastAsia="宋体" w:cs="宋体"/>
          <w:b/>
          <w:bCs/>
          <w:color w:val="auto"/>
          <w:kern w:val="0"/>
          <w:sz w:val="34"/>
          <w:szCs w:val="34"/>
          <w:highlight w:val="none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color w:val="auto"/>
          <w:kern w:val="0"/>
          <w:sz w:val="34"/>
          <w:szCs w:val="34"/>
          <w:highlight w:val="none"/>
          <w:lang w:val="en-US" w:eastAsia="zh-CN" w:bidi="ar"/>
        </w:rPr>
        <w:t>合同条款响应</w:t>
      </w:r>
    </w:p>
    <w:tbl>
      <w:tblPr>
        <w:tblStyle w:val="3"/>
        <w:tblW w:w="9290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2" w:space="0"/>
          <w:insideV w:val="single" w:color="auto" w:sz="2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8"/>
        <w:gridCol w:w="1549"/>
        <w:gridCol w:w="2628"/>
        <w:gridCol w:w="2636"/>
        <w:gridCol w:w="1489"/>
      </w:tblGrid>
      <w:tr w14:paraId="4425BB7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988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5C94E9AF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序号</w:t>
            </w:r>
          </w:p>
        </w:tc>
        <w:tc>
          <w:tcPr>
            <w:tcW w:w="1549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048DB79F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条款名称</w:t>
            </w:r>
          </w:p>
        </w:tc>
        <w:tc>
          <w:tcPr>
            <w:tcW w:w="2628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6CD703C6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en-US" w:eastAsia="zh-CN"/>
              </w:rPr>
              <w:t>磋商</w:t>
            </w: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文件合同条款明细</w:t>
            </w:r>
          </w:p>
        </w:tc>
        <w:tc>
          <w:tcPr>
            <w:tcW w:w="2636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64A83B11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en-US" w:eastAsia="zh-CN"/>
              </w:rPr>
              <w:t>响应</w:t>
            </w: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文件合同条款响应</w:t>
            </w:r>
          </w:p>
        </w:tc>
        <w:tc>
          <w:tcPr>
            <w:tcW w:w="1489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758FB148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响应说明</w:t>
            </w:r>
          </w:p>
        </w:tc>
      </w:tr>
      <w:tr w14:paraId="49046A0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988" w:type="dxa"/>
            <w:tcBorders>
              <w:top w:val="single" w:color="auto" w:sz="2" w:space="0"/>
            </w:tcBorders>
            <w:noWrap w:val="0"/>
            <w:vAlign w:val="center"/>
          </w:tcPr>
          <w:p w14:paraId="0FF8452F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549" w:type="dxa"/>
            <w:tcBorders>
              <w:top w:val="single" w:color="auto" w:sz="2" w:space="0"/>
            </w:tcBorders>
            <w:noWrap w:val="0"/>
            <w:vAlign w:val="center"/>
          </w:tcPr>
          <w:p w14:paraId="2401661E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628" w:type="dxa"/>
            <w:tcBorders>
              <w:top w:val="single" w:color="auto" w:sz="2" w:space="0"/>
            </w:tcBorders>
            <w:noWrap w:val="0"/>
            <w:vAlign w:val="center"/>
          </w:tcPr>
          <w:p w14:paraId="6354065A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636" w:type="dxa"/>
            <w:tcBorders>
              <w:top w:val="single" w:color="auto" w:sz="2" w:space="0"/>
            </w:tcBorders>
            <w:noWrap w:val="0"/>
            <w:vAlign w:val="center"/>
          </w:tcPr>
          <w:p w14:paraId="7E5AC0BE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489" w:type="dxa"/>
            <w:tcBorders>
              <w:top w:val="single" w:color="auto" w:sz="2" w:space="0"/>
            </w:tcBorders>
            <w:noWrap w:val="0"/>
            <w:vAlign w:val="center"/>
          </w:tcPr>
          <w:p w14:paraId="36FC80F4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63CC262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988" w:type="dxa"/>
            <w:noWrap w:val="0"/>
            <w:vAlign w:val="center"/>
          </w:tcPr>
          <w:p w14:paraId="5E7695A8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549" w:type="dxa"/>
            <w:noWrap w:val="0"/>
            <w:vAlign w:val="center"/>
          </w:tcPr>
          <w:p w14:paraId="1F954395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628" w:type="dxa"/>
            <w:noWrap w:val="0"/>
            <w:vAlign w:val="center"/>
          </w:tcPr>
          <w:p w14:paraId="7BC7C5AE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636" w:type="dxa"/>
            <w:noWrap w:val="0"/>
            <w:vAlign w:val="center"/>
          </w:tcPr>
          <w:p w14:paraId="0DEBC971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489" w:type="dxa"/>
            <w:noWrap w:val="0"/>
            <w:vAlign w:val="center"/>
          </w:tcPr>
          <w:p w14:paraId="14C6B8EC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31E4002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988" w:type="dxa"/>
            <w:noWrap w:val="0"/>
            <w:vAlign w:val="center"/>
          </w:tcPr>
          <w:p w14:paraId="4BE616F2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549" w:type="dxa"/>
            <w:noWrap w:val="0"/>
            <w:vAlign w:val="center"/>
          </w:tcPr>
          <w:p w14:paraId="1FE305DB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628" w:type="dxa"/>
            <w:noWrap w:val="0"/>
            <w:vAlign w:val="center"/>
          </w:tcPr>
          <w:p w14:paraId="713D5915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636" w:type="dxa"/>
            <w:noWrap w:val="0"/>
            <w:vAlign w:val="center"/>
          </w:tcPr>
          <w:p w14:paraId="196E5CC3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489" w:type="dxa"/>
            <w:noWrap w:val="0"/>
            <w:vAlign w:val="center"/>
          </w:tcPr>
          <w:p w14:paraId="7342FDD3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3C3027C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988" w:type="dxa"/>
            <w:noWrap w:val="0"/>
            <w:vAlign w:val="center"/>
          </w:tcPr>
          <w:p w14:paraId="7F765A55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549" w:type="dxa"/>
            <w:noWrap w:val="0"/>
            <w:vAlign w:val="center"/>
          </w:tcPr>
          <w:p w14:paraId="102A322A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628" w:type="dxa"/>
            <w:noWrap w:val="0"/>
            <w:vAlign w:val="center"/>
          </w:tcPr>
          <w:p w14:paraId="61ABDA00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636" w:type="dxa"/>
            <w:noWrap w:val="0"/>
            <w:vAlign w:val="center"/>
          </w:tcPr>
          <w:p w14:paraId="4DF425DF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489" w:type="dxa"/>
            <w:noWrap w:val="0"/>
            <w:vAlign w:val="center"/>
          </w:tcPr>
          <w:p w14:paraId="3E9E6451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2736013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988" w:type="dxa"/>
            <w:noWrap w:val="0"/>
            <w:vAlign w:val="center"/>
          </w:tcPr>
          <w:p w14:paraId="74AE1629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549" w:type="dxa"/>
            <w:noWrap w:val="0"/>
            <w:vAlign w:val="center"/>
          </w:tcPr>
          <w:p w14:paraId="4452FA12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628" w:type="dxa"/>
            <w:noWrap w:val="0"/>
            <w:vAlign w:val="center"/>
          </w:tcPr>
          <w:p w14:paraId="72F29000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636" w:type="dxa"/>
            <w:noWrap w:val="0"/>
            <w:vAlign w:val="center"/>
          </w:tcPr>
          <w:p w14:paraId="4EA8A859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489" w:type="dxa"/>
            <w:noWrap w:val="0"/>
            <w:vAlign w:val="center"/>
          </w:tcPr>
          <w:p w14:paraId="47F293D2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0196438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988" w:type="dxa"/>
            <w:noWrap w:val="0"/>
            <w:vAlign w:val="center"/>
          </w:tcPr>
          <w:p w14:paraId="6AAC43B1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549" w:type="dxa"/>
            <w:noWrap w:val="0"/>
            <w:vAlign w:val="center"/>
          </w:tcPr>
          <w:p w14:paraId="71F66B72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628" w:type="dxa"/>
            <w:noWrap w:val="0"/>
            <w:vAlign w:val="center"/>
          </w:tcPr>
          <w:p w14:paraId="5AF794D8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636" w:type="dxa"/>
            <w:noWrap w:val="0"/>
            <w:vAlign w:val="center"/>
          </w:tcPr>
          <w:p w14:paraId="368FE4A1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489" w:type="dxa"/>
            <w:noWrap w:val="0"/>
            <w:vAlign w:val="center"/>
          </w:tcPr>
          <w:p w14:paraId="45FCB734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68EA51B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988" w:type="dxa"/>
            <w:noWrap w:val="0"/>
            <w:vAlign w:val="center"/>
          </w:tcPr>
          <w:p w14:paraId="25701BF6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549" w:type="dxa"/>
            <w:noWrap w:val="0"/>
            <w:vAlign w:val="center"/>
          </w:tcPr>
          <w:p w14:paraId="4BACE6D3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628" w:type="dxa"/>
            <w:noWrap w:val="0"/>
            <w:vAlign w:val="center"/>
          </w:tcPr>
          <w:p w14:paraId="3A4789C9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636" w:type="dxa"/>
            <w:noWrap w:val="0"/>
            <w:vAlign w:val="center"/>
          </w:tcPr>
          <w:p w14:paraId="007574EF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489" w:type="dxa"/>
            <w:noWrap w:val="0"/>
            <w:vAlign w:val="center"/>
          </w:tcPr>
          <w:p w14:paraId="4DD22266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16E5483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988" w:type="dxa"/>
            <w:noWrap w:val="0"/>
            <w:vAlign w:val="center"/>
          </w:tcPr>
          <w:p w14:paraId="41D586E4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备注</w:t>
            </w:r>
          </w:p>
        </w:tc>
        <w:tc>
          <w:tcPr>
            <w:tcW w:w="8302" w:type="dxa"/>
            <w:gridSpan w:val="4"/>
            <w:noWrap w:val="0"/>
            <w:vAlign w:val="center"/>
          </w:tcPr>
          <w:p w14:paraId="34A9A71C">
            <w:pPr>
              <w:shd w:val="clear" w:color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1</w:t>
            </w: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en-US" w:eastAsia="zh-CN"/>
              </w:rPr>
              <w:t>.</w:t>
            </w: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“完全接受”的条款无需在本表中列出，但必须提交空白表；对于需要供应商填报的内容，以及“不能接受”或“有条件接受”的条款，则应写明该条款名称及条款明细、以及供应商所能接受的条件。</w:t>
            </w:r>
          </w:p>
          <w:p w14:paraId="14B91CF1">
            <w:pPr>
              <w:shd w:val="clear" w:color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2</w:t>
            </w: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en-US" w:eastAsia="zh-CN"/>
              </w:rPr>
              <w:t>.</w:t>
            </w: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若</w:t>
            </w: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en-US" w:eastAsia="zh-CN"/>
              </w:rPr>
              <w:t>响应</w:t>
            </w: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文件含有采购人不能接受的附加条件的，</w:t>
            </w: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en-US" w:eastAsia="zh-CN"/>
              </w:rPr>
              <w:t>响应文件</w:t>
            </w: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无效。</w:t>
            </w:r>
          </w:p>
          <w:p w14:paraId="1D0BDB3A">
            <w:pPr>
              <w:shd w:val="clear" w:color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3</w:t>
            </w: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en-US" w:eastAsia="zh-CN"/>
              </w:rPr>
              <w:t>.</w:t>
            </w: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因表格空间因有限，不足以容纳响应内容时，允许在表后进行响应，但须在表中注明引用位置。</w:t>
            </w:r>
          </w:p>
        </w:tc>
      </w:tr>
    </w:tbl>
    <w:p w14:paraId="5377B0F8">
      <w:pPr>
        <w:shd w:val="clear" w:color="auto"/>
        <w:spacing w:line="560" w:lineRule="exact"/>
        <w:ind w:firstLine="480" w:firstLineChars="200"/>
        <w:rPr>
          <w:rFonts w:hint="eastAsia" w:ascii="宋体" w:hAnsi="宋体" w:eastAsia="宋体" w:cs="宋体"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>声明：除上表所列的合同条款外，</w:t>
      </w:r>
      <w:r>
        <w:rPr>
          <w:rFonts w:hint="eastAsia" w:ascii="宋体" w:hAnsi="宋体" w:eastAsia="宋体" w:cs="宋体"/>
          <w:color w:val="auto"/>
          <w:sz w:val="24"/>
          <w:highlight w:val="none"/>
          <w:lang w:val="en-US" w:eastAsia="zh-CN"/>
        </w:rPr>
        <w:t>磋商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>文件中的其他合同条款我方均完全接受。</w:t>
      </w:r>
    </w:p>
    <w:p w14:paraId="4BBC9342">
      <w:pPr>
        <w:pStyle w:val="2"/>
        <w:shd w:val="clear" w:color="auto"/>
        <w:snapToGrid w:val="0"/>
        <w:spacing w:line="360" w:lineRule="auto"/>
        <w:ind w:firstLine="2822" w:firstLineChars="1176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7694DCD6">
      <w:pPr>
        <w:pStyle w:val="2"/>
        <w:shd w:val="clear" w:color="auto"/>
        <w:snapToGrid w:val="0"/>
        <w:spacing w:line="360" w:lineRule="auto"/>
        <w:ind w:firstLine="2342" w:firstLineChars="976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供应商：（供应商全称并加盖公章）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        </w:t>
      </w:r>
    </w:p>
    <w:p w14:paraId="7B450B72">
      <w:pPr>
        <w:pStyle w:val="2"/>
        <w:shd w:val="clear" w:color="auto"/>
        <w:snapToGrid w:val="0"/>
        <w:spacing w:line="360" w:lineRule="auto"/>
        <w:ind w:firstLine="2342" w:firstLineChars="976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法定代表人或委托代理人：（签字或盖章）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  </w:t>
      </w:r>
    </w:p>
    <w:p w14:paraId="441EA669">
      <w:pPr>
        <w:ind w:firstLine="2400" w:firstLineChars="1000"/>
      </w:pPr>
      <w:bookmarkStart w:id="0" w:name="_GoBack"/>
      <w:bookmarkEnd w:id="0"/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 期：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年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DE24A62"/>
    <w:rsid w:val="3DE24A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autoSpaceDE w:val="0"/>
      <w:autoSpaceDN w:val="0"/>
      <w:adjustRightInd w:val="0"/>
      <w:spacing w:line="640" w:lineRule="exact"/>
      <w:ind w:firstLine="585"/>
    </w:pPr>
    <w:rPr>
      <w:rFonts w:ascii="楷体_GB2312" w:eastAsia="楷体_GB2312"/>
      <w:sz w:val="32"/>
      <w:szCs w:val="3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2026-01-06T08:22:00Z</dcterms:created>
  <dc:creator>doit</dc:creator>
  <cp:lastModifiedBy>doit</cp:lastModifiedBy>
  <dcterms:modified xsi:type="dcterms:W3CDTF">2026-01-06T08:22:59Z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2E6DC7A2BAE74E7496E8BDD58A8646AC_11</vt:lpwstr>
  </property>
  <property fmtid="{D5CDD505-2E9C-101B-9397-08002B2CF9AE}" pid="4" name="KSOTemplateDocerSaveRecord">
    <vt:lpwstr>eyJoZGlkIjoiNjU3ZGIwMTYyN2VhMzEyODI5YTFjODYzYmY0ZTZjNzciLCJ1c2VySWQiOiI1NDQyNTk1OTUifQ==</vt:lpwstr>
  </property>
</Properties>
</file>