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版本号：SXZHZC2026-CS35520260121001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校园文化建设项目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SXZHZC2026-CS355</w:t>
      </w:r>
      <w:r>
        <w:br/>
      </w:r>
      <w:r>
        <w:br/>
      </w:r>
      <w:r>
        <w:br/>
      </w:r>
    </w:p>
    <w:p>
      <w:pPr>
        <w:pStyle w:val="null3"/>
        <w:jc w:val="center"/>
        <w:outlineLvl w:val="2"/>
      </w:pPr>
      <w:r>
        <w:rPr>
          <w:rFonts w:ascii="仿宋_GB2312" w:hAnsi="仿宋_GB2312" w:cs="仿宋_GB2312" w:eastAsia="仿宋_GB2312"/>
          <w:sz w:val="28"/>
          <w:b/>
        </w:rPr>
        <w:t>西安经开第十一幼儿园</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西安经开第十一幼儿园</w:t>
      </w:r>
      <w:r>
        <w:rPr>
          <w:rFonts w:ascii="仿宋_GB2312" w:hAnsi="仿宋_GB2312" w:cs="仿宋_GB2312" w:eastAsia="仿宋_GB2312"/>
        </w:rPr>
        <w:t>委托，拟对</w:t>
      </w:r>
      <w:r>
        <w:rPr>
          <w:rFonts w:ascii="仿宋_GB2312" w:hAnsi="仿宋_GB2312" w:cs="仿宋_GB2312" w:eastAsia="仿宋_GB2312"/>
        </w:rPr>
        <w:t>校园文化建设项目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SXZHZC2026-CS355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校园文化建设项目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西安经开第十一幼儿园校园文化建设项目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采购包1（校园文化建设项目）：属于专门面向中小企业采购。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 ：拟派项目经理具备建筑工程专业二级及以上注册建造师执业资格且在本单位注册，具有有效的安全生产考核合格证，且未担任其他在建工程项目的项目经理（提供无在建承诺书）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西安经开第十一幼儿园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西安市未央区元凤四路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029-86105308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采购包1：251,431.55元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代理服务费收费标准：定额收取人民币捌仟元整（¥8000.00元）。成交供应商在领取成交通知书前，须向采购代理机构一次性支付招标代理服务费。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西安经开第十一幼儿园</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西安经开第十一幼儿园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西安经开第十一幼儿园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 程康 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251,431.55</w:t>
      </w:r>
    </w:p>
    <w:p>
      <w:pPr>
        <w:pStyle w:val="null3"/>
      </w:pPr>
      <w:r>
        <w:rPr>
          <w:rFonts w:ascii="仿宋_GB2312" w:hAnsi="仿宋_GB2312" w:cs="仿宋_GB2312" w:eastAsia="仿宋_GB2312"/>
        </w:rPr>
        <w:t>采购包最高限价（元）: 251,431.55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校园文化建设项目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251,431.55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标的名称：校园文化建设项目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为满足幼儿园需求，园舍环境建设需体现园所文化、教育理念等内容</w:t>
            </w:r>
            <w:r>
              <w:rPr>
                <w:rFonts w:ascii="仿宋_GB2312" w:hAnsi="仿宋_GB2312" w:cs="仿宋_GB2312" w:eastAsia="仿宋_GB2312"/>
                <w:sz w:val="21"/>
              </w:rPr>
              <w:t>,计划对园区大厅实施校园文化环创建设。具体</w:t>
            </w:r>
            <w:r>
              <w:rPr>
                <w:rFonts w:ascii="仿宋_GB2312" w:hAnsi="仿宋_GB2312" w:cs="仿宋_GB2312" w:eastAsia="仿宋_GB2312"/>
                <w:sz w:val="21"/>
              </w:rPr>
              <w:t>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3、由于全文为文件模板固定格式，本项目仍需要提供已标价工程量清单。 本项目供应商在首次提交的响应文件中的报价（即首次报价）应按磋商文件及工程量清单编制要求，逐一列出报价的构成及明细，并提供已标价工程量清单。已标价工程量清单的扉页（仅指投标总价扉页）应由工程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承诺③质量保修期服务承诺④服务响应时间⑤服务响应措施。服务承诺合理、可行的计10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供应商2023年1月以来类似项目业绩；每提供1份计2分，最高得10分。业绩证明（以合同或中标/成交通知书为准，须在磋商响应文件中附以上证明材料的扫描件加盖单位公章）弄虚作假者，取消其成交资格。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