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6CE7F">
      <w:pPr>
        <w:numPr>
          <w:ilvl w:val="0"/>
          <w:numId w:val="0"/>
        </w:numPr>
        <w:jc w:val="center"/>
        <w:rPr>
          <w:rFonts w:hint="eastAsia" w:ascii="宋体" w:hAnsi="宋体" w:eastAsia="宋体" w:cs="宋体"/>
          <w:b/>
          <w:color w:val="auto"/>
          <w:sz w:val="36"/>
        </w:rPr>
      </w:pPr>
      <w:r>
        <w:rPr>
          <w:rFonts w:hint="eastAsia" w:ascii="宋体" w:hAnsi="宋体" w:eastAsia="宋体" w:cs="宋体"/>
          <w:b/>
          <w:color w:val="auto"/>
          <w:sz w:val="36"/>
        </w:rPr>
        <w:t>拟签订采购合同文本</w:t>
      </w:r>
    </w:p>
    <w:p w14:paraId="2FF0D57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p>
    <w:p w14:paraId="2EF6B00B">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bookmarkStart w:id="0" w:name="OLE_LINK13"/>
      <w:r>
        <w:rPr>
          <w:rFonts w:hint="eastAsia" w:ascii="宋体" w:hAnsi="宋体" w:eastAsia="宋体" w:cs="宋体"/>
          <w:bCs/>
          <w:color w:val="auto"/>
          <w:sz w:val="24"/>
          <w:szCs w:val="24"/>
          <w:highlight w:val="none"/>
        </w:rPr>
        <w:t>甲方（采购人）：</w:t>
      </w:r>
      <w:r>
        <w:rPr>
          <w:rFonts w:hint="eastAsia" w:ascii="宋体" w:hAnsi="宋体" w:eastAsia="宋体" w:cs="宋体"/>
          <w:bCs/>
          <w:color w:val="auto"/>
          <w:sz w:val="24"/>
          <w:szCs w:val="24"/>
          <w:highlight w:val="none"/>
          <w:u w:val="single"/>
          <w:lang w:eastAsia="zh-CN"/>
        </w:rPr>
        <w:t>西安经开第十一幼儿园</w:t>
      </w:r>
    </w:p>
    <w:p w14:paraId="252CD74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6D2446F6">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u w:val="single"/>
          <w:lang w:val="en-US" w:eastAsia="zh-CN"/>
        </w:rPr>
        <w:t>西安经开第十一幼儿园校园文化建设项目</w:t>
      </w:r>
      <w:r>
        <w:rPr>
          <w:rFonts w:hint="eastAsia" w:ascii="宋体" w:hAnsi="宋体" w:eastAsia="宋体" w:cs="宋体"/>
          <w:bCs/>
          <w:color w:val="auto"/>
          <w:sz w:val="24"/>
          <w:szCs w:val="24"/>
          <w:highlight w:val="none"/>
        </w:rPr>
        <w:t>在陕西泽航项目管理有限公司组织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085334D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bookmarkEnd w:id="0"/>
    <w:p w14:paraId="711C5AD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0B552B36">
      <w:pPr>
        <w:autoSpaceDE w:val="0"/>
        <w:autoSpaceDN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bookmarkStart w:id="1" w:name="OLE_LINK14"/>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一</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本合同为固定总价合同。</w:t>
      </w:r>
    </w:p>
    <w:p w14:paraId="6627DEF7">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二</w:t>
      </w:r>
      <w:r>
        <w:rPr>
          <w:rFonts w:hint="eastAsia" w:ascii="宋体" w:hAnsi="宋体" w:eastAsia="宋体" w:cs="宋体"/>
          <w:bCs/>
          <w:color w:val="auto"/>
          <w:sz w:val="24"/>
          <w:szCs w:val="24"/>
          <w:highlight w:val="none"/>
        </w:rPr>
        <w:t>）合同总价款：</w:t>
      </w:r>
      <w:r>
        <w:rPr>
          <w:rFonts w:hint="eastAsia" w:ascii="宋体" w:hAnsi="宋体" w:eastAsia="宋体" w:cs="宋体"/>
          <w:bCs/>
          <w:color w:val="auto"/>
          <w:sz w:val="24"/>
          <w:szCs w:val="24"/>
          <w:highlight w:val="none"/>
          <w:lang w:eastAsia="zh-CN"/>
        </w:rPr>
        <w:t>大写：</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元）</w:t>
      </w:r>
      <w:r>
        <w:rPr>
          <w:rFonts w:hint="eastAsia" w:ascii="宋体" w:hAnsi="宋体" w:eastAsia="宋体" w:cs="宋体"/>
          <w:bCs/>
          <w:color w:val="auto"/>
          <w:sz w:val="24"/>
          <w:szCs w:val="24"/>
          <w:highlight w:val="none"/>
        </w:rPr>
        <w:t>。</w:t>
      </w:r>
    </w:p>
    <w:p w14:paraId="7401CF2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三</w:t>
      </w:r>
      <w:r>
        <w:rPr>
          <w:rFonts w:hint="eastAsia" w:ascii="宋体" w:hAnsi="宋体" w:eastAsia="宋体" w:cs="宋体"/>
          <w:bCs/>
          <w:color w:val="auto"/>
          <w:sz w:val="24"/>
          <w:szCs w:val="24"/>
          <w:highlight w:val="none"/>
        </w:rPr>
        <w:t>）合同总价包括：</w:t>
      </w:r>
      <w:r>
        <w:rPr>
          <w:rFonts w:hint="eastAsia" w:ascii="宋体" w:hAnsi="宋体" w:eastAsia="宋体" w:cs="宋体"/>
          <w:bCs/>
          <w:color w:val="auto"/>
          <w:sz w:val="24"/>
          <w:szCs w:val="24"/>
          <w:highlight w:val="none"/>
          <w:lang w:eastAsia="zh-CN"/>
        </w:rPr>
        <w:t>工程量清单的全部内容</w:t>
      </w:r>
      <w:r>
        <w:rPr>
          <w:rFonts w:hint="eastAsia" w:ascii="宋体" w:hAnsi="宋体" w:eastAsia="宋体" w:cs="宋体"/>
          <w:bCs/>
          <w:color w:val="auto"/>
          <w:sz w:val="24"/>
          <w:szCs w:val="24"/>
          <w:highlight w:val="none"/>
        </w:rPr>
        <w:t>，不受市场价变化的影响。合同价格为含税价。</w:t>
      </w:r>
    </w:p>
    <w:bookmarkEnd w:id="1"/>
    <w:p w14:paraId="18A20419">
      <w:pPr>
        <w:autoSpaceDE w:val="0"/>
        <w:autoSpaceDN w:val="0"/>
        <w:adjustRightIn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088FC53E">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bookmarkStart w:id="2" w:name="OLE_LINK15"/>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合同签订，</w:t>
      </w:r>
      <w:bookmarkStart w:id="3" w:name="OLE_LINK6"/>
      <w:r>
        <w:rPr>
          <w:rFonts w:hint="eastAsia" w:ascii="宋体" w:hAnsi="宋体" w:cs="宋体"/>
          <w:b w:val="0"/>
          <w:bCs/>
          <w:color w:val="auto"/>
          <w:sz w:val="24"/>
          <w:szCs w:val="24"/>
          <w:highlight w:val="none"/>
          <w:lang w:val="en-US" w:eastAsia="zh-CN"/>
        </w:rPr>
        <w:t>达到付款条件15日内</w:t>
      </w:r>
      <w:bookmarkEnd w:id="3"/>
      <w:r>
        <w:rPr>
          <w:rFonts w:hint="eastAsia" w:ascii="宋体" w:hAnsi="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支付</w:t>
      </w:r>
      <w:bookmarkStart w:id="4" w:name="OLE_LINK7"/>
      <w:r>
        <w:rPr>
          <w:rFonts w:hint="eastAsia" w:ascii="宋体" w:hAnsi="宋体" w:eastAsia="宋体" w:cs="宋体"/>
          <w:b w:val="0"/>
          <w:bCs/>
          <w:color w:val="auto"/>
          <w:sz w:val="24"/>
          <w:szCs w:val="24"/>
          <w:highlight w:val="none"/>
          <w:lang w:val="en-US" w:eastAsia="zh-CN"/>
        </w:rPr>
        <w:t>合同价</w:t>
      </w:r>
      <w:bookmarkEnd w:id="4"/>
      <w:r>
        <w:rPr>
          <w:rFonts w:hint="eastAsia" w:ascii="宋体" w:hAnsi="宋体" w:eastAsia="宋体" w:cs="宋体"/>
          <w:b w:val="0"/>
          <w:bCs/>
          <w:color w:val="auto"/>
          <w:sz w:val="24"/>
          <w:szCs w:val="24"/>
          <w:highlight w:val="none"/>
          <w:lang w:val="en-US" w:eastAsia="zh-CN"/>
        </w:rPr>
        <w:t>的40%；</w:t>
      </w:r>
    </w:p>
    <w:p w14:paraId="77E12A13">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完工验收合格后</w:t>
      </w:r>
      <w:r>
        <w:rPr>
          <w:rFonts w:hint="eastAsia" w:ascii="宋体" w:hAnsi="宋体" w:cs="宋体"/>
          <w:b w:val="0"/>
          <w:bCs/>
          <w:color w:val="auto"/>
          <w:sz w:val="24"/>
          <w:szCs w:val="24"/>
          <w:highlight w:val="none"/>
          <w:lang w:val="en-US" w:eastAsia="zh-CN"/>
        </w:rPr>
        <w:t>达到付款条件15日内，</w:t>
      </w:r>
      <w:r>
        <w:rPr>
          <w:rFonts w:hint="eastAsia" w:ascii="宋体" w:hAnsi="宋体" w:eastAsia="宋体" w:cs="宋体"/>
          <w:b w:val="0"/>
          <w:bCs/>
          <w:color w:val="auto"/>
          <w:sz w:val="24"/>
          <w:szCs w:val="24"/>
          <w:highlight w:val="none"/>
          <w:lang w:val="en-US" w:eastAsia="zh-CN"/>
        </w:rPr>
        <w:t>支付合同价的60%；</w:t>
      </w:r>
    </w:p>
    <w:p w14:paraId="79E8138F">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eastAsia="zh-CN"/>
        </w:rPr>
        <w:t>每次</w:t>
      </w:r>
      <w:r>
        <w:rPr>
          <w:rFonts w:hint="eastAsia" w:ascii="宋体" w:hAnsi="宋体" w:eastAsia="宋体" w:cs="宋体"/>
          <w:b w:val="0"/>
          <w:bCs/>
          <w:color w:val="auto"/>
          <w:sz w:val="24"/>
          <w:szCs w:val="24"/>
          <w:highlight w:val="none"/>
          <w:lang w:val="en-US" w:eastAsia="zh-CN"/>
        </w:rPr>
        <w:t>向供应商</w:t>
      </w:r>
      <w:r>
        <w:rPr>
          <w:rFonts w:hint="eastAsia" w:ascii="宋体" w:hAnsi="宋体" w:eastAsia="宋体" w:cs="宋体"/>
          <w:b w:val="0"/>
          <w:bCs/>
          <w:color w:val="auto"/>
          <w:sz w:val="24"/>
          <w:szCs w:val="24"/>
          <w:highlight w:val="none"/>
          <w:lang w:eastAsia="zh-CN"/>
        </w:rPr>
        <w:t>付款前，</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eastAsia="zh-CN"/>
        </w:rPr>
        <w:t>须提供等额正规发票。</w:t>
      </w:r>
    </w:p>
    <w:bookmarkEnd w:id="2"/>
    <w:p w14:paraId="22AFF80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7014819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5" w:name="OLE_LINK16"/>
      <w:r>
        <w:rPr>
          <w:rFonts w:hint="eastAsia" w:ascii="宋体" w:hAnsi="宋体" w:eastAsia="宋体" w:cs="宋体"/>
          <w:bCs/>
          <w:color w:val="auto"/>
          <w:sz w:val="24"/>
          <w:szCs w:val="24"/>
          <w:highlight w:val="none"/>
        </w:rPr>
        <w:t>（一）实施地点：甲方指定地点。</w:t>
      </w:r>
    </w:p>
    <w:p w14:paraId="4BEDA9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（二）工期：</w:t>
      </w:r>
      <w:r>
        <w:rPr>
          <w:rFonts w:hint="eastAsia" w:ascii="宋体" w:hAnsi="宋体" w:cs="宋体"/>
          <w:bCs/>
          <w:color w:val="auto"/>
          <w:sz w:val="24"/>
          <w:szCs w:val="24"/>
          <w:highlight w:val="none"/>
          <w:lang w:val="en-US" w:eastAsia="zh-CN"/>
        </w:rPr>
        <w:t>30日历天</w:t>
      </w:r>
    </w:p>
    <w:p w14:paraId="7F76247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（三）质保期：自本项目竣工验收合格之日起二年。</w:t>
      </w:r>
    </w:p>
    <w:p w14:paraId="1EFF47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（四）工程内容：详见工程量清单。</w:t>
      </w:r>
    </w:p>
    <w:p w14:paraId="511E6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（五）工程承包范围：工程量清单、答疑以及本磋商文件规定的全部内容。文字与清单不符时，以清单为准。</w:t>
      </w:r>
    </w:p>
    <w:p w14:paraId="46797B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（六）质量标准：符合国家现行有关施工质量验收规范“合格”要求。</w:t>
      </w:r>
    </w:p>
    <w:p w14:paraId="26A897E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（八）项目经理姓名：</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none"/>
          <w:lang w:val="en-US" w:eastAsia="zh-CN"/>
        </w:rPr>
        <w:t>；注册证号：</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lang w:val="en-US" w:eastAsia="zh-CN"/>
        </w:rPr>
        <w:t>。</w:t>
      </w:r>
    </w:p>
    <w:bookmarkEnd w:id="5"/>
    <w:p w14:paraId="62FA698E">
      <w:pPr>
        <w:pStyle w:val="4"/>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149DC0C3">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6" w:name="OLE_LINK17"/>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3011318C">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4221327F">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bookmarkEnd w:id="6"/>
    <w:p w14:paraId="3360039D">
      <w:pPr>
        <w:spacing w:line="360" w:lineRule="auto"/>
        <w:ind w:firstLine="600" w:firstLineChars="24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2B23A8EC">
      <w:pPr>
        <w:spacing w:line="360" w:lineRule="auto"/>
        <w:ind w:firstLine="480" w:firstLineChars="200"/>
        <w:rPr>
          <w:rFonts w:hint="eastAsia" w:ascii="宋体" w:hAnsi="宋体" w:eastAsia="宋体" w:cs="宋体"/>
          <w:b/>
          <w:color w:val="auto"/>
          <w:sz w:val="24"/>
          <w:szCs w:val="24"/>
          <w:highlight w:val="none"/>
        </w:rPr>
      </w:pPr>
      <w:bookmarkStart w:id="7" w:name="OLE_LINK18"/>
      <w:r>
        <w:rPr>
          <w:rFonts w:hint="eastAsia" w:ascii="宋体" w:hAnsi="宋体" w:eastAsia="宋体" w:cs="宋体"/>
          <w:color w:val="auto"/>
          <w:sz w:val="24"/>
          <w:szCs w:val="24"/>
          <w:highlight w:val="none"/>
        </w:rPr>
        <w:t>（一）甲方责任：</w:t>
      </w:r>
    </w:p>
    <w:p w14:paraId="4BF8153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103CFAC6">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2、组织设计、设计变更及现场签证，工程结算的审定等工作。</w:t>
      </w:r>
    </w:p>
    <w:p w14:paraId="66B871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3、对工程进度、质量进行监督检查。</w:t>
      </w:r>
    </w:p>
    <w:p w14:paraId="14B052B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4、组织有关单位对工程进行竣工验收。</w:t>
      </w:r>
    </w:p>
    <w:p w14:paraId="7C8AAC4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5、按时支付工程款。</w:t>
      </w:r>
    </w:p>
    <w:p w14:paraId="3154034D">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（二）乙方责任：</w:t>
      </w:r>
    </w:p>
    <w:p w14:paraId="4ED962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178FCF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26A71D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8DB0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D5149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20F5457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3E47B1A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260E162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8、工程竣工后提供竣工验收技术资料及竣工图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肆</w:t>
      </w:r>
      <w:r>
        <w:rPr>
          <w:rFonts w:hint="eastAsia" w:ascii="宋体" w:hAnsi="宋体" w:eastAsia="宋体" w:cs="宋体"/>
          <w:color w:val="auto"/>
          <w:sz w:val="24"/>
          <w:szCs w:val="24"/>
          <w:highlight w:val="none"/>
        </w:rPr>
        <w:t>套，办理工程竣工结算手续，参加工程竣工验收。</w:t>
      </w:r>
    </w:p>
    <w:p w14:paraId="7BD9A76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p>
    <w:p w14:paraId="691FEF9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6404D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7C3F99BA">
      <w:pPr>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bookmarkEnd w:id="7"/>
    <w:p w14:paraId="3199CF72">
      <w:pPr>
        <w:spacing w:line="360" w:lineRule="auto"/>
        <w:ind w:firstLine="634" w:firstLineChars="263"/>
        <w:jc w:val="left"/>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3DD9AC5C">
      <w:pPr>
        <w:spacing w:line="360" w:lineRule="auto"/>
        <w:ind w:firstLine="480" w:firstLineChars="200"/>
        <w:rPr>
          <w:rFonts w:hint="eastAsia" w:ascii="宋体" w:hAnsi="宋体" w:eastAsia="宋体" w:cs="宋体"/>
          <w:color w:val="auto"/>
          <w:sz w:val="24"/>
          <w:szCs w:val="24"/>
          <w:highlight w:val="none"/>
        </w:rPr>
      </w:pPr>
      <w:bookmarkStart w:id="8" w:name="OLE_LINK19"/>
      <w:r>
        <w:rPr>
          <w:rFonts w:hint="eastAsia" w:ascii="宋体" w:hAnsi="宋体" w:eastAsia="宋体" w:cs="宋体"/>
          <w:color w:val="auto"/>
          <w:sz w:val="24"/>
          <w:szCs w:val="24"/>
          <w:highlight w:val="none"/>
        </w:rPr>
        <w:t>1．组成本合同的文件包括：</w:t>
      </w:r>
    </w:p>
    <w:p w14:paraId="55CB2227">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6C309F29">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685B599A">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6505A741">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磋商报价</w:t>
      </w:r>
    </w:p>
    <w:p w14:paraId="6DBF54BF">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技术标准和要求</w:t>
      </w:r>
    </w:p>
    <w:p w14:paraId="3CC67334">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已标价工程量清单或预算书</w:t>
      </w:r>
    </w:p>
    <w:p w14:paraId="0B527536">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其他合同文件。</w:t>
      </w:r>
    </w:p>
    <w:p w14:paraId="44ED8B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bookmarkEnd w:id="8"/>
    <w:p w14:paraId="317EC493">
      <w:pPr>
        <w:autoSpaceDE w:val="0"/>
        <w:autoSpaceDN w:val="0"/>
        <w:adjustRightInd w:val="0"/>
        <w:spacing w:line="360" w:lineRule="auto"/>
        <w:ind w:firstLine="472" w:firstLineChars="196"/>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七、验收</w:t>
      </w:r>
    </w:p>
    <w:p w14:paraId="0979939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9" w:name="OLE_LINK20"/>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主材到现场后，由甲方对其进行验收，确认材料的产地、规格、数量。</w:t>
      </w:r>
    </w:p>
    <w:p w14:paraId="3280492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乙方工程完工后，进行自检，合格后准备验收文件，并书面通知甲方。</w:t>
      </w:r>
    </w:p>
    <w:p w14:paraId="632299C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甲方确认乙方的自检内容，验收合格作为工程的最终认可。</w:t>
      </w:r>
    </w:p>
    <w:p w14:paraId="3FF57094">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val="zh-CN"/>
        </w:rPr>
        <w:t>验收依据：</w:t>
      </w:r>
    </w:p>
    <w:p w14:paraId="6CAC13C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4-1、合同、磋商文件、磋商响应文件及承诺。</w:t>
      </w:r>
    </w:p>
    <w:p w14:paraId="6E9689E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4-2、国家相关</w:t>
      </w:r>
      <w:r>
        <w:rPr>
          <w:rFonts w:hint="eastAsia" w:ascii="宋体" w:hAnsi="宋体" w:eastAsia="宋体" w:cs="宋体"/>
          <w:bCs/>
          <w:color w:val="auto"/>
          <w:sz w:val="24"/>
          <w:szCs w:val="24"/>
          <w:highlight w:val="none"/>
        </w:rPr>
        <w:t>标准、规范及有关技术文件</w:t>
      </w:r>
      <w:r>
        <w:rPr>
          <w:rFonts w:hint="eastAsia" w:ascii="宋体" w:hAnsi="宋体" w:eastAsia="宋体" w:cs="宋体"/>
          <w:color w:val="auto"/>
          <w:sz w:val="24"/>
          <w:szCs w:val="24"/>
          <w:highlight w:val="none"/>
          <w:lang w:val="zh-CN"/>
        </w:rPr>
        <w:t>。</w:t>
      </w:r>
    </w:p>
    <w:bookmarkEnd w:id="9"/>
    <w:p w14:paraId="0A35502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八、争议的解</w:t>
      </w:r>
      <w:bookmarkStart w:id="10" w:name="OLE_LINK22"/>
      <w:r>
        <w:rPr>
          <w:rFonts w:hint="eastAsia" w:ascii="宋体" w:hAnsi="宋体" w:eastAsia="宋体" w:cs="宋体"/>
          <w:b/>
          <w:color w:val="auto"/>
          <w:sz w:val="24"/>
          <w:szCs w:val="24"/>
          <w:highlight w:val="none"/>
        </w:rPr>
        <w:t>决方</w:t>
      </w:r>
      <w:bookmarkEnd w:id="10"/>
      <w:r>
        <w:rPr>
          <w:rFonts w:hint="eastAsia" w:ascii="宋体" w:hAnsi="宋体" w:eastAsia="宋体" w:cs="宋体"/>
          <w:b/>
          <w:color w:val="auto"/>
          <w:sz w:val="24"/>
          <w:szCs w:val="24"/>
          <w:highlight w:val="none"/>
        </w:rPr>
        <w:t>式</w:t>
      </w:r>
    </w:p>
    <w:p w14:paraId="1F579417">
      <w:pPr>
        <w:spacing w:line="360" w:lineRule="auto"/>
        <w:ind w:firstLine="480" w:firstLineChars="200"/>
        <w:rPr>
          <w:rFonts w:hint="eastAsia" w:ascii="宋体" w:hAnsi="宋体" w:eastAsia="宋体" w:cs="宋体"/>
          <w:color w:val="auto"/>
          <w:sz w:val="24"/>
          <w:szCs w:val="24"/>
          <w:highlight w:val="none"/>
        </w:rPr>
      </w:pPr>
      <w:bookmarkStart w:id="11" w:name="OLE_LINK21"/>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bookmarkEnd w:id="11"/>
    <w:p w14:paraId="4DEF381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九、其他</w:t>
      </w:r>
    </w:p>
    <w:p w14:paraId="4F17DB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062B538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bookmarkStart w:id="12" w:name="OLE_LINK23"/>
      <w:r>
        <w:rPr>
          <w:rFonts w:hint="eastAsia" w:ascii="宋体" w:hAnsi="宋体" w:eastAsia="宋体" w:cs="宋体"/>
          <w:b/>
          <w:color w:val="auto"/>
          <w:sz w:val="24"/>
          <w:szCs w:val="24"/>
          <w:highlight w:val="none"/>
        </w:rPr>
        <w:t>、附则</w:t>
      </w:r>
      <w:bookmarkEnd w:id="12"/>
    </w:p>
    <w:p w14:paraId="0E235FAF">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（一）本合同一式份，甲、乙方各执份。</w:t>
      </w:r>
    </w:p>
    <w:p w14:paraId="72889929">
      <w:pPr>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5"/>
        <w:tblW w:w="8403" w:type="dxa"/>
        <w:jc w:val="center"/>
        <w:tblLayout w:type="fixed"/>
        <w:tblCellMar>
          <w:top w:w="0" w:type="dxa"/>
          <w:left w:w="108" w:type="dxa"/>
          <w:bottom w:w="0" w:type="dxa"/>
          <w:right w:w="108" w:type="dxa"/>
        </w:tblCellMar>
      </w:tblPr>
      <w:tblGrid>
        <w:gridCol w:w="4201"/>
        <w:gridCol w:w="4202"/>
      </w:tblGrid>
      <w:tr w14:paraId="6FF7F626">
        <w:tblPrEx>
          <w:tblCellMar>
            <w:top w:w="0" w:type="dxa"/>
            <w:left w:w="108" w:type="dxa"/>
            <w:bottom w:w="0" w:type="dxa"/>
            <w:right w:w="108" w:type="dxa"/>
          </w:tblCellMar>
        </w:tblPrEx>
        <w:trPr>
          <w:trHeight w:val="567" w:hRule="exact"/>
          <w:jc w:val="center"/>
        </w:trPr>
        <w:tc>
          <w:tcPr>
            <w:tcW w:w="4201" w:type="dxa"/>
            <w:noWrap/>
            <w:vAlign w:val="center"/>
          </w:tcPr>
          <w:p w14:paraId="73D79ED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甲方</w:t>
            </w:r>
          </w:p>
        </w:tc>
        <w:tc>
          <w:tcPr>
            <w:tcW w:w="4202" w:type="dxa"/>
            <w:noWrap/>
            <w:vAlign w:val="center"/>
          </w:tcPr>
          <w:p w14:paraId="1C04C08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乙方</w:t>
            </w:r>
          </w:p>
        </w:tc>
      </w:tr>
      <w:tr w14:paraId="22D8F04A">
        <w:tblPrEx>
          <w:tblCellMar>
            <w:top w:w="0" w:type="dxa"/>
            <w:left w:w="108" w:type="dxa"/>
            <w:bottom w:w="0" w:type="dxa"/>
            <w:right w:w="108" w:type="dxa"/>
          </w:tblCellMar>
        </w:tblPrEx>
        <w:trPr>
          <w:trHeight w:val="567" w:hRule="exact"/>
          <w:jc w:val="center"/>
        </w:trPr>
        <w:tc>
          <w:tcPr>
            <w:tcW w:w="4201" w:type="dxa"/>
            <w:noWrap/>
            <w:vAlign w:val="center"/>
          </w:tcPr>
          <w:p w14:paraId="2E8C807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2AFFACD2">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6E5775DE">
        <w:tblPrEx>
          <w:tblCellMar>
            <w:top w:w="0" w:type="dxa"/>
            <w:left w:w="108" w:type="dxa"/>
            <w:bottom w:w="0" w:type="dxa"/>
            <w:right w:w="108" w:type="dxa"/>
          </w:tblCellMar>
        </w:tblPrEx>
        <w:trPr>
          <w:trHeight w:val="567" w:hRule="exact"/>
          <w:jc w:val="center"/>
        </w:trPr>
        <w:tc>
          <w:tcPr>
            <w:tcW w:w="4201" w:type="dxa"/>
            <w:noWrap/>
            <w:vAlign w:val="center"/>
          </w:tcPr>
          <w:p w14:paraId="592FD6EB">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地址：</w:t>
            </w:r>
          </w:p>
        </w:tc>
        <w:tc>
          <w:tcPr>
            <w:tcW w:w="4202" w:type="dxa"/>
            <w:noWrap/>
            <w:vAlign w:val="center"/>
          </w:tcPr>
          <w:p w14:paraId="123DE2D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78476C68">
        <w:tblPrEx>
          <w:tblCellMar>
            <w:top w:w="0" w:type="dxa"/>
            <w:left w:w="108" w:type="dxa"/>
            <w:bottom w:w="0" w:type="dxa"/>
            <w:right w:w="108" w:type="dxa"/>
          </w:tblCellMar>
        </w:tblPrEx>
        <w:trPr>
          <w:trHeight w:val="567" w:hRule="exact"/>
          <w:jc w:val="center"/>
        </w:trPr>
        <w:tc>
          <w:tcPr>
            <w:tcW w:w="4201" w:type="dxa"/>
            <w:noWrap/>
            <w:vAlign w:val="center"/>
          </w:tcPr>
          <w:p w14:paraId="2792F23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6889FD9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4185CED0">
        <w:tblPrEx>
          <w:tblCellMar>
            <w:top w:w="0" w:type="dxa"/>
            <w:left w:w="108" w:type="dxa"/>
            <w:bottom w:w="0" w:type="dxa"/>
            <w:right w:w="108" w:type="dxa"/>
          </w:tblCellMar>
        </w:tblPrEx>
        <w:trPr>
          <w:trHeight w:val="567" w:hRule="exact"/>
          <w:jc w:val="center"/>
        </w:trPr>
        <w:tc>
          <w:tcPr>
            <w:tcW w:w="4201" w:type="dxa"/>
            <w:noWrap/>
            <w:vAlign w:val="center"/>
          </w:tcPr>
          <w:p w14:paraId="3BCEBF7F">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c>
          <w:tcPr>
            <w:tcW w:w="4202" w:type="dxa"/>
            <w:noWrap/>
            <w:vAlign w:val="center"/>
          </w:tcPr>
          <w:p w14:paraId="66BE75D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4F56A4A6">
        <w:tblPrEx>
          <w:tblCellMar>
            <w:top w:w="0" w:type="dxa"/>
            <w:left w:w="108" w:type="dxa"/>
            <w:bottom w:w="0" w:type="dxa"/>
            <w:right w:w="108" w:type="dxa"/>
          </w:tblCellMar>
        </w:tblPrEx>
        <w:trPr>
          <w:trHeight w:val="567" w:hRule="exact"/>
          <w:jc w:val="center"/>
        </w:trPr>
        <w:tc>
          <w:tcPr>
            <w:tcW w:w="4201" w:type="dxa"/>
            <w:noWrap/>
            <w:vAlign w:val="center"/>
          </w:tcPr>
          <w:p w14:paraId="10215A2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7882BE7B">
            <w:pPr>
              <w:autoSpaceDE w:val="0"/>
              <w:autoSpaceDN w:val="0"/>
              <w:adjustRightInd w:val="0"/>
              <w:spacing w:line="48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00758AAB">
        <w:tblPrEx>
          <w:tblCellMar>
            <w:top w:w="0" w:type="dxa"/>
            <w:left w:w="108" w:type="dxa"/>
            <w:bottom w:w="0" w:type="dxa"/>
            <w:right w:w="108" w:type="dxa"/>
          </w:tblCellMar>
        </w:tblPrEx>
        <w:trPr>
          <w:trHeight w:val="567" w:hRule="exact"/>
          <w:jc w:val="center"/>
        </w:trPr>
        <w:tc>
          <w:tcPr>
            <w:tcW w:w="4201" w:type="dxa"/>
            <w:noWrap/>
            <w:vAlign w:val="center"/>
          </w:tcPr>
          <w:p w14:paraId="01DBB3F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7CFD0DE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3EE57B27">
        <w:tblPrEx>
          <w:tblCellMar>
            <w:top w:w="0" w:type="dxa"/>
            <w:left w:w="108" w:type="dxa"/>
            <w:bottom w:w="0" w:type="dxa"/>
            <w:right w:w="108" w:type="dxa"/>
          </w:tblCellMar>
        </w:tblPrEx>
        <w:trPr>
          <w:trHeight w:val="567" w:hRule="exact"/>
          <w:jc w:val="center"/>
        </w:trPr>
        <w:tc>
          <w:tcPr>
            <w:tcW w:w="4201" w:type="dxa"/>
            <w:noWrap/>
            <w:vAlign w:val="center"/>
          </w:tcPr>
          <w:p w14:paraId="52D86B2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265C6C3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45EF2968">
        <w:tblPrEx>
          <w:tblCellMar>
            <w:top w:w="0" w:type="dxa"/>
            <w:left w:w="108" w:type="dxa"/>
            <w:bottom w:w="0" w:type="dxa"/>
            <w:right w:w="108" w:type="dxa"/>
          </w:tblCellMar>
        </w:tblPrEx>
        <w:trPr>
          <w:trHeight w:val="567" w:hRule="exact"/>
          <w:jc w:val="center"/>
        </w:trPr>
        <w:tc>
          <w:tcPr>
            <w:tcW w:w="4201" w:type="dxa"/>
            <w:noWrap/>
            <w:vAlign w:val="center"/>
          </w:tcPr>
          <w:p w14:paraId="27FBE6D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21E585B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543B88C5">
      <w:pPr>
        <w:pStyle w:val="3"/>
        <w:rPr>
          <w:rFonts w:hint="eastAsia" w:ascii="宋体" w:hAnsi="宋体" w:eastAsia="宋体" w:cs="宋体"/>
          <w:color w:val="auto"/>
          <w:sz w:val="24"/>
          <w:szCs w:val="24"/>
          <w:highlight w:val="none"/>
        </w:rPr>
      </w:pPr>
    </w:p>
    <w:p w14:paraId="50B9B922">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ED975E1">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附</w:t>
      </w:r>
      <w:bookmarkStart w:id="13" w:name="_Toc267261693"/>
      <w:bookmarkStart w:id="14" w:name="_Toc296503226"/>
      <w:bookmarkStart w:id="15" w:name="_Toc296891054"/>
      <w:bookmarkStart w:id="16" w:name="_Toc296347225"/>
      <w:bookmarkStart w:id="17" w:name="_Toc296944565"/>
      <w:bookmarkStart w:id="18" w:name="_Toc296891266"/>
      <w:bookmarkStart w:id="19" w:name="_Toc296346727"/>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bookmarkEnd w:id="13"/>
      <w:bookmarkEnd w:id="14"/>
      <w:bookmarkEnd w:id="15"/>
      <w:bookmarkEnd w:id="16"/>
      <w:bookmarkEnd w:id="17"/>
      <w:bookmarkEnd w:id="18"/>
      <w:bookmarkEnd w:id="19"/>
    </w:p>
    <w:p w14:paraId="49536379">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340FD5D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u w:val="single"/>
          <w:lang w:eastAsia="zh-CN"/>
        </w:rPr>
        <w:t>西安经开第十一幼儿园</w:t>
      </w:r>
    </w:p>
    <w:p w14:paraId="626EDCC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承包人（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p>
    <w:p w14:paraId="65322F2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rPr>
      </w:pPr>
    </w:p>
    <w:p w14:paraId="409BE82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lang w:val="en-US" w:eastAsia="zh-CN"/>
        </w:rPr>
        <w:t>西安经开第十一幼儿园校园文化建设项目</w:t>
      </w:r>
      <w:r>
        <w:rPr>
          <w:rFonts w:hint="eastAsia" w:ascii="宋体" w:hAnsi="宋体" w:eastAsia="宋体" w:cs="宋体"/>
          <w:color w:val="auto"/>
          <w:sz w:val="24"/>
          <w:szCs w:val="24"/>
          <w:highlight w:val="none"/>
        </w:rPr>
        <w:t>（工程全称）签订工程质量保修书。</w:t>
      </w:r>
    </w:p>
    <w:p w14:paraId="3DBF434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12FB600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1BA3B1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42B44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7C6A79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63103C88">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103795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p>
    <w:p w14:paraId="168DE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185E2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938AB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个采暖期、供冷期；</w:t>
      </w:r>
    </w:p>
    <w:p w14:paraId="2A3EFB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65920C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651B294B">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w:t>
      </w:r>
    </w:p>
    <w:p w14:paraId="0522929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34C0EA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76352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12</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96FF6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1F8AB3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四、质量保修责任</w:t>
      </w:r>
    </w:p>
    <w:p w14:paraId="028950F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3E7D68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w:t>
      </w:r>
      <w:bookmarkStart w:id="20" w:name="OLE_LINK11"/>
      <w:r>
        <w:rPr>
          <w:rFonts w:hint="eastAsia" w:ascii="宋体" w:hAnsi="宋体" w:eastAsia="宋体" w:cs="宋体"/>
          <w:color w:val="auto"/>
          <w:sz w:val="24"/>
          <w:szCs w:val="24"/>
          <w:highlight w:val="none"/>
        </w:rPr>
        <w:t>应</w:t>
      </w:r>
      <w:bookmarkEnd w:id="20"/>
      <w:r>
        <w:rPr>
          <w:rFonts w:hint="eastAsia" w:ascii="宋体" w:hAnsi="宋体" w:eastAsia="宋体" w:cs="宋体"/>
          <w:color w:val="auto"/>
          <w:sz w:val="24"/>
          <w:szCs w:val="24"/>
          <w:highlight w:val="none"/>
        </w:rPr>
        <w:t>当立即到达事故现场抢修。</w:t>
      </w:r>
    </w:p>
    <w:p w14:paraId="5E75065E">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052AE58">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0E55B5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2425C66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7AA4A7B6">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p>
    <w:p w14:paraId="7019056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2142D200">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587C217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w:t>
      </w:r>
    </w:p>
    <w:p w14:paraId="223A67D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p>
    <w:p w14:paraId="56A4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p>
    <w:p w14:paraId="1E5D145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p>
    <w:p w14:paraId="23471B5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p>
    <w:p w14:paraId="7822EF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p>
    <w:p w14:paraId="04BE51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p>
    <w:p w14:paraId="6355CE4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p>
    <w:p w14:paraId="554DF934">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C36DE"/>
    <w:rsid w:val="557C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1"/>
    <w:qFormat/>
    <w:uiPriority w:val="99"/>
    <w:pPr>
      <w:spacing w:line="360" w:lineRule="auto"/>
      <w:ind w:left="424" w:leftChars="202" w:firstLine="567"/>
    </w:pPr>
    <w:rPr>
      <w:sz w:val="24"/>
      <w:szCs w:val="24"/>
    </w:rPr>
  </w:style>
  <w:style w:type="paragraph" w:styleId="3">
    <w:name w:val="Plain Text"/>
    <w:basedOn w:val="1"/>
    <w:qFormat/>
    <w:uiPriority w:val="99"/>
    <w:rPr>
      <w:rFonts w:ascii="宋体" w:hAnsi="Courier New" w:cs="宋体"/>
    </w:rPr>
  </w:style>
  <w:style w:type="paragraph" w:styleId="4">
    <w:name w:val="Body Text First Indent 2"/>
    <w:basedOn w:val="2"/>
    <w:next w:val="1"/>
    <w:unhideWhenUsed/>
    <w:qFormat/>
    <w:uiPriority w:val="0"/>
    <w:pPr>
      <w:spacing w:after="120"/>
      <w:ind w:left="420" w:leftChars="200" w:firstLine="420" w:firstLineChars="200"/>
    </w:pPr>
    <w:rPr>
      <w:sz w:val="24"/>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2026-01-21T07:15:00Z</dcterms:created>
  <dc:creator>doit</dc:creator>
  <cp:lastModifiedBy>doit</cp:lastModifiedBy>
  <dcterms:modified xsi:type="dcterms:W3CDTF">2026-01-21T07:15:06Z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B68406F979B643C0A2ACBFFD23707CFD_11</vt:lpwstr>
  </property>
  <property fmtid="{D5CDD505-2E9C-101B-9397-08002B2CF9AE}" pid="4" name="KSOTemplateDocerSaveRecord">
    <vt:lpwstr>eyJoZGlkIjoiNjU3ZGIwMTYyN2VhMzEyODI5YTFjODYzYmY0ZTZjNzciLCJ1c2VySWQiOiI1NDQyNTk1OTUifQ==</vt:lpwstr>
  </property>
</Properties>
</file>