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A3A406">
      <w:pPr>
        <w:widowControl/>
        <w:jc w:val="center"/>
        <w:rPr>
          <w:rFonts w:ascii="宋体" w:hAnsi="宋体" w:eastAsia="宋体" w:cs="宋体"/>
          <w:b/>
          <w:bCs/>
          <w:kern w:val="0"/>
          <w:sz w:val="34"/>
          <w:szCs w:val="34"/>
          <w:lang w:bidi="ar"/>
        </w:rPr>
      </w:pPr>
      <w:r>
        <w:rPr>
          <w:rFonts w:hint="eastAsia" w:ascii="宋体" w:hAnsi="宋体" w:eastAsia="宋体" w:cs="宋体"/>
          <w:b/>
          <w:bCs/>
          <w:kern w:val="0"/>
          <w:sz w:val="34"/>
          <w:szCs w:val="34"/>
          <w:lang w:bidi="ar"/>
        </w:rPr>
        <w:t>合同条款响应</w:t>
      </w:r>
    </w:p>
    <w:tbl>
      <w:tblPr>
        <w:tblStyle w:val="3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03011C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4C552D1E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16CFAF9D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3E29DCA0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谈判文件合同条款明细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09EBE816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响应文件合同条款响应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65351C5A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响应说明</w:t>
            </w:r>
          </w:p>
        </w:tc>
      </w:tr>
      <w:tr w14:paraId="793CAD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vAlign w:val="center"/>
          </w:tcPr>
          <w:p w14:paraId="2ED7F924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vAlign w:val="center"/>
          </w:tcPr>
          <w:p w14:paraId="23F233FA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vAlign w:val="center"/>
          </w:tcPr>
          <w:p w14:paraId="78CA7187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vAlign w:val="center"/>
          </w:tcPr>
          <w:p w14:paraId="14140D9C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vAlign w:val="center"/>
          </w:tcPr>
          <w:p w14:paraId="2ECBBB2A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070ACF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371F4334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49" w:type="dxa"/>
            <w:vAlign w:val="center"/>
          </w:tcPr>
          <w:p w14:paraId="28D1273A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28" w:type="dxa"/>
            <w:vAlign w:val="center"/>
          </w:tcPr>
          <w:p w14:paraId="43B76EC1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36" w:type="dxa"/>
            <w:vAlign w:val="center"/>
          </w:tcPr>
          <w:p w14:paraId="06D42E5D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89" w:type="dxa"/>
            <w:vAlign w:val="center"/>
          </w:tcPr>
          <w:p w14:paraId="126DC87D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6DC918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4029A570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49" w:type="dxa"/>
            <w:vAlign w:val="center"/>
          </w:tcPr>
          <w:p w14:paraId="75EB7080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28" w:type="dxa"/>
            <w:vAlign w:val="center"/>
          </w:tcPr>
          <w:p w14:paraId="5CBB408D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36" w:type="dxa"/>
            <w:vAlign w:val="center"/>
          </w:tcPr>
          <w:p w14:paraId="7EE8EB37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89" w:type="dxa"/>
            <w:vAlign w:val="center"/>
          </w:tcPr>
          <w:p w14:paraId="071E94A1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39C9D2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1FA4AC75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49" w:type="dxa"/>
            <w:vAlign w:val="center"/>
          </w:tcPr>
          <w:p w14:paraId="50A539B3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28" w:type="dxa"/>
            <w:vAlign w:val="center"/>
          </w:tcPr>
          <w:p w14:paraId="6A621840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36" w:type="dxa"/>
            <w:vAlign w:val="center"/>
          </w:tcPr>
          <w:p w14:paraId="11B01E87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89" w:type="dxa"/>
            <w:vAlign w:val="center"/>
          </w:tcPr>
          <w:p w14:paraId="426A0805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21082D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16BE418E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49" w:type="dxa"/>
            <w:vAlign w:val="center"/>
          </w:tcPr>
          <w:p w14:paraId="0E21708E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28" w:type="dxa"/>
            <w:vAlign w:val="center"/>
          </w:tcPr>
          <w:p w14:paraId="3B6EADCA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36" w:type="dxa"/>
            <w:vAlign w:val="center"/>
          </w:tcPr>
          <w:p w14:paraId="2D5FA843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89" w:type="dxa"/>
            <w:vAlign w:val="center"/>
          </w:tcPr>
          <w:p w14:paraId="03227053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16FE8E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4FBF98C9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49" w:type="dxa"/>
            <w:vAlign w:val="center"/>
          </w:tcPr>
          <w:p w14:paraId="06EF7FA8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28" w:type="dxa"/>
            <w:vAlign w:val="center"/>
          </w:tcPr>
          <w:p w14:paraId="529D2614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36" w:type="dxa"/>
            <w:vAlign w:val="center"/>
          </w:tcPr>
          <w:p w14:paraId="00BCACC5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89" w:type="dxa"/>
            <w:vAlign w:val="center"/>
          </w:tcPr>
          <w:p w14:paraId="5DC68FF5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097F02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5EAA3D02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49" w:type="dxa"/>
            <w:vAlign w:val="center"/>
          </w:tcPr>
          <w:p w14:paraId="39CF7077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28" w:type="dxa"/>
            <w:vAlign w:val="center"/>
          </w:tcPr>
          <w:p w14:paraId="63E46623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36" w:type="dxa"/>
            <w:vAlign w:val="center"/>
          </w:tcPr>
          <w:p w14:paraId="5AAB3477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89" w:type="dxa"/>
            <w:vAlign w:val="center"/>
          </w:tcPr>
          <w:p w14:paraId="0DCBE81A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4352FB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521AA097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  <w:tc>
          <w:tcPr>
            <w:tcW w:w="8302" w:type="dxa"/>
            <w:gridSpan w:val="4"/>
            <w:vAlign w:val="center"/>
          </w:tcPr>
          <w:p w14:paraId="60569A5F"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1.“完全接受”的条款无需在本表中列出，但必须提交空白表；对于需要供应商填报的内容，以及“不能接受”或“有条件接受”的条款，则应写明该条款名称及条款明细、以及供应商所能接受的条件。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37F50295"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2.若响应文件含有采购人不能接受的附加条件的，响应文件无效。</w:t>
            </w:r>
          </w:p>
          <w:p w14:paraId="28B4C6FA"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3.因表格空间因有限，不足以容纳响应内容时，允许在表后进行响应，但须在表中注明引用位置。</w:t>
            </w:r>
          </w:p>
        </w:tc>
      </w:tr>
    </w:tbl>
    <w:p w14:paraId="14224EE9">
      <w:pPr>
        <w:spacing w:line="56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声明：除上表所列的合同条款外，谈判文件中的其他合同条款我方均完全接受。</w:t>
      </w:r>
    </w:p>
    <w:p w14:paraId="67065CEE">
      <w:pPr>
        <w:pStyle w:val="2"/>
        <w:snapToGrid w:val="0"/>
        <w:spacing w:line="360" w:lineRule="auto"/>
        <w:ind w:firstLine="2822" w:firstLineChars="1176"/>
        <w:rPr>
          <w:rFonts w:ascii="宋体" w:hAnsi="宋体" w:eastAsia="宋体" w:cs="宋体"/>
          <w:sz w:val="24"/>
          <w:szCs w:val="24"/>
        </w:rPr>
      </w:pPr>
    </w:p>
    <w:p w14:paraId="4FEBAE4E">
      <w:pPr>
        <w:pStyle w:val="2"/>
        <w:snapToGrid w:val="0"/>
        <w:spacing w:line="360" w:lineRule="auto"/>
        <w:ind w:firstLine="2342" w:firstLineChars="976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</w:t>
      </w:r>
    </w:p>
    <w:p w14:paraId="6D991230">
      <w:pPr>
        <w:pStyle w:val="2"/>
        <w:snapToGrid w:val="0"/>
        <w:spacing w:line="360" w:lineRule="auto"/>
        <w:ind w:firstLine="2342" w:firstLineChars="976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</w:p>
    <w:p w14:paraId="14A564EC">
      <w:pPr>
        <w:ind w:firstLine="2400" w:firstLineChars="1000"/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日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8D477E"/>
    <w:rsid w:val="708D4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2026-01-05T09:21:00Z</dcterms:created>
  <dc:creator>doit</dc:creator>
  <cp:lastModifiedBy>doit</cp:lastModifiedBy>
  <dcterms:modified xsi:type="dcterms:W3CDTF">2026-01-05T09:21:57Z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5AEA0B1E656B4F9185B3B95579CF23A2_11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