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版本号：SXZHZC2025-CS31520260106001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硬件设施提升项目（维修改造工程）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SXZHZC2025-CS315</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硬件设施提升项目（维修改造工程）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SXZHZC2025-CS315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硬件设施提升项目（维修改造工程）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西安市经开第五学校硬件设施提升项目（维修改造工程）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采购包1（生态文明建设工程）：属于专门面向中小企业采购。</w:t>
      </w:r>
    </w:p>
    <w:p>
      <w:pPr>
        <w:pStyle w:val="null3"/>
      </w:pPr>
      <w:r>
        <w:rPr>
          <w:rFonts w:ascii="仿宋_GB2312" w:hAnsi="仿宋_GB2312" w:cs="仿宋_GB2312" w:eastAsia="仿宋_GB2312"/>
        </w:rPr>
        <w:t>采购包2（厨房餐厅改造提升工程）：属于专门面向中小企业采购。</w:t>
      </w:r>
    </w:p>
    <w:p>
      <w:pPr>
        <w:pStyle w:val="null3"/>
      </w:pPr>
      <w:r>
        <w:rPr>
          <w:rFonts w:ascii="仿宋_GB2312" w:hAnsi="仿宋_GB2312" w:cs="仿宋_GB2312" w:eastAsia="仿宋_GB2312"/>
        </w:rPr>
        <w:t>采购包3（安全防护设施工程）：属于专门面向中小企业采购。</w:t>
      </w:r>
    </w:p>
    <w:p>
      <w:pPr>
        <w:pStyle w:val="null3"/>
      </w:pPr>
      <w:r>
        <w:rPr>
          <w:rFonts w:ascii="仿宋_GB2312" w:hAnsi="仿宋_GB2312" w:cs="仿宋_GB2312" w:eastAsia="仿宋_GB2312"/>
        </w:rPr>
        <w:t>采购包4（心里咨询室工程）：属于专门面向中小企业采购。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2、供应商资质要求：供应商具备建设部门颁发的建筑工程施工总承包三级及以上资质，且具有有效的安全生产许可证；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采购包1：357,178.64元</w:t>
            </w:r>
          </w:p>
          <w:p>
            <w:pPr>
              <w:pStyle w:val="null3"/>
            </w:pPr>
            <w:r>
              <w:rPr>
                <w:rFonts w:ascii="仿宋_GB2312" w:hAnsi="仿宋_GB2312" w:cs="仿宋_GB2312" w:eastAsia="仿宋_GB2312"/>
              </w:rPr>
              <w:t>采购包2：495,142.45元</w:t>
            </w:r>
          </w:p>
          <w:p>
            <w:pPr>
              <w:pStyle w:val="null3"/>
            </w:pPr>
            <w:r>
              <w:rPr>
                <w:rFonts w:ascii="仿宋_GB2312" w:hAnsi="仿宋_GB2312" w:cs="仿宋_GB2312" w:eastAsia="仿宋_GB2312"/>
              </w:rPr>
              <w:t>采购包3：356,534.25元</w:t>
            </w:r>
          </w:p>
          <w:p>
            <w:pPr>
              <w:pStyle w:val="null3"/>
            </w:pPr>
            <w:r>
              <w:rPr>
                <w:rFonts w:ascii="仿宋_GB2312" w:hAnsi="仿宋_GB2312" w:cs="仿宋_GB2312" w:eastAsia="仿宋_GB2312"/>
              </w:rPr>
              <w:t>采购包4：196,529.82元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代理服务费收费标准：每标段定额收取人民币捌仟元整（¥8000.00元）。成交供应商在领取成交通知书前，须向采购代理机构一次性支付招标代理服务费。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西安市经开第五学校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采购包3：项目包干价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采购包4：项目包干价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 张婉莹 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357,178.64</w:t>
      </w:r>
    </w:p>
    <w:p>
      <w:pPr>
        <w:pStyle w:val="null3"/>
      </w:pPr>
      <w:r>
        <w:rPr>
          <w:rFonts w:ascii="仿宋_GB2312" w:hAnsi="仿宋_GB2312" w:cs="仿宋_GB2312" w:eastAsia="仿宋_GB2312"/>
        </w:rPr>
        <w:t>采购包最高限价（元）: 357,178.64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生态文明建设工程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357,178.64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495,142.45</w:t>
      </w:r>
    </w:p>
    <w:p>
      <w:pPr>
        <w:pStyle w:val="null3"/>
      </w:pPr>
      <w:r>
        <w:rPr>
          <w:rFonts w:ascii="仿宋_GB2312" w:hAnsi="仿宋_GB2312" w:cs="仿宋_GB2312" w:eastAsia="仿宋_GB2312"/>
        </w:rPr>
        <w:t>采购包最高限价（元）: 495,142.45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厨房餐厅改造提升工程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495,142.45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356,534.25</w:t>
      </w:r>
    </w:p>
    <w:p>
      <w:pPr>
        <w:pStyle w:val="null3"/>
      </w:pPr>
      <w:r>
        <w:rPr>
          <w:rFonts w:ascii="仿宋_GB2312" w:hAnsi="仿宋_GB2312" w:cs="仿宋_GB2312" w:eastAsia="仿宋_GB2312"/>
        </w:rPr>
        <w:t>采购包最高限价（元）: 356,534.25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安全防护设施工程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356,534.25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196,529.82</w:t>
      </w:r>
    </w:p>
    <w:p>
      <w:pPr>
        <w:pStyle w:val="null3"/>
      </w:pPr>
      <w:r>
        <w:rPr>
          <w:rFonts w:ascii="仿宋_GB2312" w:hAnsi="仿宋_GB2312" w:cs="仿宋_GB2312" w:eastAsia="仿宋_GB2312"/>
        </w:rPr>
        <w:t>采购包最高限价（元）: 196,529.82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心里咨询室工程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196,529.82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标的名称：生态文明建设工程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改造公共区域为生态主题展厅，集成垃圾分类教育模块、绿色美育等，通过场景化宣教提升学生环保理念，培育可持续发展价值观，构建绿色校园宣教基地。具体内容详见工程量清单及相关附件。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标的名称：厨房餐厅改造提升工程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对餐厅进行改造升级，需达到满足</w:t>
            </w:r>
            <w:r>
              <w:rPr>
                <w:rFonts w:ascii="仿宋_GB2312" w:hAnsi="仿宋_GB2312" w:cs="仿宋_GB2312" w:eastAsia="仿宋_GB2312"/>
                <w:sz w:val="21"/>
              </w:rPr>
              <w:t>1000名学生同时吃饭，保证学生正常开餐。具体内容详见工程量清单及相关附件。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标的名称：安全防护设施工程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楼间加装防攀爬护栏，消除高空坠物隐患，构建平安校园物理屏障，维护师生在校安全。具体内容详见工程量清单及相关附件。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标的名称：心里咨询室工程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升级心理咨询室，配备沙盘治疗系统、心理测评软件及情绪疏导设备，打造专业化心理健康干预空间。完善学生心理支持服务体系，提升心理健康危机预防与疏导能力。具体内容详见工程量清单及相关附件。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3、由于全文为文件模板固定格式，本项目仍需要提供已标价工程量清单。 本项目供应商在首次提交的响应文件中的报价（即首次报价）应按磋商文件及工程量清单编制要求，逐一列出报价的构成及明细，并提供已标价工程量清单。已标价工程量清单的扉页（仅指投标总价扉页）应由在工程造价咨询企业的造价人员签字并盖执业印章。供应商提交的已标价工程量清单应符合本项目工程量清单以及清单说明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12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1分，最高得2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制定的施工方案与技术措施包含：①对项目总体概况表述和管理思路②施工部署及措施③对项目主要及关键方案的表述④施工平面布置。方案合理完善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制定的质量管理体系与措施包含：①质量管理目标②管理机构职责分工③质量管理制度④质量保证措施。方案合理完整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制定的安全管理体系与措施包含：①安全管理目标②安全管理机构职责分工③安全管理制度④安全保证措施。方案全面、有效的计16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2分，方案缺漏项或只有标题没有实质性内容的每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制定的环境保护管理体系与措施包含：①环境保护管理目标②环境保护管理机构职责分工③环境保护管理制度④环境保护保证措施。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供应商针对本项目制定的工程进度计划与保证措施包含：①总工期及节点工期安排②施工进度计划安排③进度保证措施。方案合理完整的计6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不合理的每项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制定资源配备计划包含：①劳动力计划②主要材料供应计划③施工机械设备配备计划④资源调配计划。方案合理完整的计8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对本项目提供的服务承诺包含：①施工过程中的相关承诺②投入材料质量承诺③质量保修期服务承诺④服务响应时间⑤服务响应措施。服务承诺合理、可行的计10分，方案不完善或有缺陷（不完善或有缺陷是指：方案粗略、逻辑混乱、描述过于简单、与项目特点不匹配、凭空编造、逻辑漏洞、出现常识性错误、套用其他项目方案、存在不可能实现的夸大情形、存在不适用项目实际情况的情形）每项扣1分，方案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8月以来类似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