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版本号：XGZB260127-C00120260225001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经开税务局税务北大厅税务网络专线租赁服务项目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XGZB260127-C001</w:t>
      </w:r>
      <w:r>
        <w:br/>
      </w:r>
      <w:r>
        <w:br/>
      </w:r>
      <w:r>
        <w:br/>
      </w:r>
    </w:p>
    <w:p>
      <w:pPr>
        <w:pStyle w:val="null3"/>
        <w:jc w:val="center"/>
        <w:outlineLvl w:val="2"/>
      </w:pPr>
      <w:r>
        <w:rPr>
          <w:rFonts w:ascii="仿宋_GB2312" w:hAnsi="仿宋_GB2312" w:cs="仿宋_GB2312" w:eastAsia="仿宋_GB2312"/>
          <w:sz w:val="28"/>
          <w:b/>
        </w:rPr>
        <w:t>西安经济技术开发区财政金融局</w:t>
      </w:r>
    </w:p>
    <w:p>
      <w:pPr>
        <w:pStyle w:val="null3"/>
        <w:jc w:val="center"/>
        <w:outlineLvl w:val="2"/>
      </w:pPr>
      <w:r>
        <w:rPr>
          <w:rFonts w:ascii="仿宋_GB2312" w:hAnsi="仿宋_GB2312" w:cs="仿宋_GB2312" w:eastAsia="仿宋_GB2312"/>
          <w:sz w:val="28"/>
          <w:b/>
        </w:rPr>
        <w:t>西安兴国项目管理有限公司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西安兴国项目管理有限公司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西安经济技术开发区财政金融局</w:t>
      </w:r>
      <w:r>
        <w:rPr>
          <w:rFonts w:ascii="仿宋_GB2312" w:hAnsi="仿宋_GB2312" w:cs="仿宋_GB2312" w:eastAsia="仿宋_GB2312"/>
        </w:rPr>
        <w:t>委托，拟对</w:t>
      </w:r>
      <w:r>
        <w:rPr>
          <w:rFonts w:ascii="仿宋_GB2312" w:hAnsi="仿宋_GB2312" w:cs="仿宋_GB2312" w:eastAsia="仿宋_GB2312"/>
        </w:rPr>
        <w:t>经开税务局税务北大厅税务网络专线租赁服务项目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XGZB260127-C001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经开税务局税务北大厅税务网络专线租赁服务项目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西安经开区经开税务局税务北大厅税务网络专线租赁，提供税务网络专线运行服务,保障税务网络专线正常运行，服务期三年。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供应商应授权合法的人员参加投标全过程，其中法定代表人/负责人直接投标，须提交法定代表人/负责人身份证明书和身份证。法定代表人/负责人授权代表参加投标的，须出具法定代表人/负责人授权书、授权代表身份证及该人员单位社保缴纳证明。</w:t>
      </w:r>
    </w:p>
    <w:p>
      <w:pPr>
        <w:pStyle w:val="null3"/>
      </w:pPr>
      <w:r>
        <w:rPr>
          <w:rFonts w:ascii="仿宋_GB2312" w:hAnsi="仿宋_GB2312" w:cs="仿宋_GB2312" w:eastAsia="仿宋_GB2312"/>
        </w:rPr>
        <w:t>2、信用查询：符合《财政部关于在政府采购活动中查询及使用信用记录有关问题的通知》（财库【2016】125号）文件中信用查询的要求。供应商不得为“信用中国”网站（www.creditchina.gov.cn）中列入失信被执行人和重大税收违法失信主体的供应商，不得为中国政府采购网（www.ccgp.gov.cn）政府采购严重违法失信行为记录名单中被财政部门禁止参加政府采购活动的供应商。 开标当日，由采购人或采购代理机构通过“信用中国” 网站(www. creditchina. gov.cn)、中国政府采购网 (www.ccgp.gov.cn)查询相关主体信用记录网页截图保存，若查询结果不符合要求，按无效投标处理。</w:t>
      </w:r>
    </w:p>
    <w:p>
      <w:pPr>
        <w:pStyle w:val="null3"/>
      </w:pPr>
      <w:r>
        <w:rPr>
          <w:rFonts w:ascii="仿宋_GB2312" w:hAnsi="仿宋_GB2312" w:cs="仿宋_GB2312" w:eastAsia="仿宋_GB2312"/>
        </w:rPr>
        <w:t>3、关联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4、非联合体磋商：本项目不接受联合体磋商。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西安经济技术开发区财政金融局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西安市未央区明光路166号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86538459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西安兴国项目管理有限公司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西安经济技术开发区凤城十二路66号（首创富北高银）28幢2单元14层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贺文晓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029-87433755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康钧朝</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印发&lt;招标代理服务收费管理暂行办法&gt;的通知》（计价格[2002]1980号）及《国家发展改革委办公厅关于招标代理服务收费有关问题的通知》（发改价格[2003]857号）文件的通知标准收取。 服务费缴纳账户： 户名：西安兴国项目管理有限公司 开户银行：中国建设银行股份有限公司西安凤城十二路支行 银行账户：61050177004500000313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西安经济技术开发区财政金融局</w:t>
      </w:r>
      <w:r>
        <w:rPr>
          <w:rFonts w:ascii="仿宋_GB2312" w:hAnsi="仿宋_GB2312" w:cs="仿宋_GB2312" w:eastAsia="仿宋_GB2312"/>
        </w:rPr>
        <w:t>和</w:t>
      </w:r>
      <w:r>
        <w:rPr>
          <w:rFonts w:ascii="仿宋_GB2312" w:hAnsi="仿宋_GB2312" w:cs="仿宋_GB2312" w:eastAsia="仿宋_GB2312"/>
        </w:rPr>
        <w:t>西安兴国项目管理有限公司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西安经济技术开发区财政金融局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西安兴国项目管理有限公司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西安经济技术开发区财政金融局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西安兴国项目管理有限公司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西安兴国项目管理有限公司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西安兴国项目管理有限公司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西安兴国项目管理有限公司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联系人：贺文晓</w:t>
      </w:r>
    </w:p>
    <w:p>
      <w:pPr>
        <w:pStyle w:val="null3"/>
      </w:pPr>
      <w:r>
        <w:rPr>
          <w:rFonts w:ascii="仿宋_GB2312" w:hAnsi="仿宋_GB2312" w:cs="仿宋_GB2312" w:eastAsia="仿宋_GB2312"/>
        </w:rPr>
        <w:t>联系电话：029-87433755</w:t>
      </w:r>
    </w:p>
    <w:p>
      <w:pPr>
        <w:pStyle w:val="null3"/>
      </w:pPr>
      <w:r>
        <w:rPr>
          <w:rFonts w:ascii="仿宋_GB2312" w:hAnsi="仿宋_GB2312" w:cs="仿宋_GB2312" w:eastAsia="仿宋_GB2312"/>
        </w:rPr>
        <w:t>地址：西安经济技术开发区凤城十二路66号（首创富北高银）28幢2单元14层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西安经开区经开税务局税务北大厅税务网络专线租赁，提供税务网络专线运行服务,保障税务网络专线正常运行，服务期三年。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324,000.00</w:t>
      </w:r>
    </w:p>
    <w:p>
      <w:pPr>
        <w:pStyle w:val="null3"/>
      </w:pPr>
      <w:r>
        <w:rPr>
          <w:rFonts w:ascii="仿宋_GB2312" w:hAnsi="仿宋_GB2312" w:cs="仿宋_GB2312" w:eastAsia="仿宋_GB2312"/>
        </w:rPr>
        <w:t>采购包最高限价（元）: 324,000.00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经开税务局税务北大厅税务网络专线租赁服务项目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324,000.00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标的名称：经开税务局税务北大厅税务网络专线租赁服务项目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一、商务要求</w:t>
            </w:r>
          </w:p>
          <w:p>
            <w:pPr>
              <w:pStyle w:val="null3"/>
              <w:ind w:firstLine="400"/>
              <w:jc w:val="both"/>
            </w:pPr>
            <w:r>
              <w:rPr>
                <w:rFonts w:ascii="仿宋_GB2312" w:hAnsi="仿宋_GB2312" w:cs="仿宋_GB2312" w:eastAsia="仿宋_GB2312"/>
                <w:sz w:val="20"/>
              </w:rPr>
              <w:t>1、项目名称：经开税务局税务北大厅税务网络专线租赁服务项目</w:t>
            </w:r>
          </w:p>
          <w:p>
            <w:pPr>
              <w:pStyle w:val="null3"/>
              <w:ind w:firstLine="400"/>
              <w:jc w:val="both"/>
            </w:pPr>
            <w:r>
              <w:rPr>
                <w:rFonts w:ascii="仿宋_GB2312" w:hAnsi="仿宋_GB2312" w:cs="仿宋_GB2312" w:eastAsia="仿宋_GB2312"/>
                <w:sz w:val="20"/>
              </w:rPr>
              <w:t>2、服务期：三年。</w:t>
            </w:r>
          </w:p>
          <w:p>
            <w:pPr>
              <w:pStyle w:val="null3"/>
              <w:ind w:firstLine="400"/>
              <w:jc w:val="both"/>
            </w:pPr>
            <w:r>
              <w:rPr>
                <w:rFonts w:ascii="仿宋_GB2312" w:hAnsi="仿宋_GB2312" w:cs="仿宋_GB2312" w:eastAsia="仿宋_GB2312"/>
                <w:sz w:val="20"/>
              </w:rPr>
              <w:t>3、服务内容：西安经开区经开税务局税务北大厅税务网络专线租赁，提供税务网络专线运行服务,保障税务网络专线正常运行。</w:t>
            </w:r>
          </w:p>
          <w:p>
            <w:pPr>
              <w:pStyle w:val="null3"/>
              <w:ind w:firstLine="420"/>
              <w:jc w:val="both"/>
            </w:pPr>
            <w:r>
              <w:rPr>
                <w:rFonts w:ascii="仿宋_GB2312" w:hAnsi="仿宋_GB2312" w:cs="仿宋_GB2312" w:eastAsia="仿宋_GB2312"/>
                <w:sz w:val="20"/>
              </w:rPr>
              <w:t>4、年度最高限价：108000.00元。</w:t>
            </w:r>
          </w:p>
          <w:p>
            <w:pPr>
              <w:pStyle w:val="null3"/>
              <w:ind w:firstLine="400"/>
              <w:jc w:val="both"/>
            </w:pPr>
            <w:r>
              <w:rPr>
                <w:rFonts w:ascii="仿宋_GB2312" w:hAnsi="仿宋_GB2312" w:cs="仿宋_GB2312" w:eastAsia="仿宋_GB2312"/>
                <w:sz w:val="20"/>
              </w:rPr>
              <w:t>5、服务地点：采购人指定地点。</w:t>
            </w:r>
          </w:p>
          <w:p>
            <w:pPr>
              <w:pStyle w:val="null3"/>
              <w:ind w:firstLine="400"/>
              <w:jc w:val="both"/>
            </w:pPr>
            <w:r>
              <w:rPr>
                <w:rFonts w:ascii="仿宋_GB2312" w:hAnsi="仿宋_GB2312" w:cs="仿宋_GB2312" w:eastAsia="仿宋_GB2312"/>
                <w:sz w:val="20"/>
              </w:rPr>
              <w:t>6、工期：自合同签订之日起3个工作日内完成全部“税务业务专网”网络使用单位的线路接入。</w:t>
            </w:r>
          </w:p>
          <w:p>
            <w:pPr>
              <w:pStyle w:val="null3"/>
              <w:ind w:firstLine="400"/>
              <w:jc w:val="both"/>
            </w:pPr>
            <w:r>
              <w:rPr>
                <w:rFonts w:ascii="仿宋_GB2312" w:hAnsi="仿宋_GB2312" w:cs="仿宋_GB2312" w:eastAsia="仿宋_GB2312"/>
                <w:sz w:val="20"/>
              </w:rPr>
              <w:t>7、中断后果：如工作日干线网络中断半个工作日以上，依然不能修复，每延误半个工作日，免费延长合同期一周。</w:t>
            </w:r>
          </w:p>
          <w:p>
            <w:pPr>
              <w:pStyle w:val="null3"/>
              <w:jc w:val="both"/>
            </w:pPr>
            <w:r>
              <w:rPr>
                <w:rFonts w:ascii="仿宋_GB2312" w:hAnsi="仿宋_GB2312" w:cs="仿宋_GB2312" w:eastAsia="仿宋_GB2312"/>
                <w:sz w:val="20"/>
                <w:b/>
              </w:rPr>
              <w:t>二、技术需求</w:t>
            </w:r>
          </w:p>
          <w:p>
            <w:pPr>
              <w:pStyle w:val="null3"/>
              <w:jc w:val="both"/>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可采用租用运营商线路</w:t>
            </w:r>
          </w:p>
          <w:tbl>
            <w:tblPr>
              <w:tblInd w:type="dxa" w:w="135"/>
              <w:tblBorders>
                <w:top w:val="none" w:color="000000" w:sz="4"/>
                <w:left w:val="none" w:color="000000" w:sz="4"/>
                <w:bottom w:val="none" w:color="000000" w:sz="4"/>
                <w:right w:val="none" w:color="000000" w:sz="4"/>
                <w:insideH w:val="none"/>
                <w:insideV w:val="none"/>
              </w:tblBorders>
            </w:tblPr>
            <w:tblGrid>
              <w:gridCol w:w="1289"/>
              <w:gridCol w:w="1264"/>
            </w:tblGrid>
            <w:tr>
              <w:tc>
                <w:tcPr>
                  <w:tcW w:type="dxa" w:w="1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w:t>
                  </w:r>
                  <w:r>
                    <w:rPr>
                      <w:rFonts w:ascii="仿宋_GB2312" w:hAnsi="仿宋_GB2312" w:cs="仿宋_GB2312" w:eastAsia="仿宋_GB2312"/>
                      <w:sz w:val="21"/>
                    </w:rPr>
                    <w:t>/类型</w:t>
                  </w:r>
                </w:p>
              </w:tc>
              <w:tc>
                <w:tcPr>
                  <w:tcW w:type="dxa" w:w="1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指标要求</w:t>
                  </w:r>
                </w:p>
              </w:tc>
            </w:tr>
            <w:tr>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带宽</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300</w:t>
                  </w:r>
                  <w:r>
                    <w:rPr>
                      <w:rFonts w:ascii="仿宋_GB2312" w:hAnsi="仿宋_GB2312" w:cs="仿宋_GB2312" w:eastAsia="仿宋_GB2312"/>
                      <w:sz w:val="21"/>
                    </w:rPr>
                    <w:t>M</w:t>
                  </w:r>
                </w:p>
              </w:tc>
            </w:tr>
            <w:tr>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传输比特差错率</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r>
                    <w:rPr>
                      <w:rFonts w:ascii="仿宋_GB2312" w:hAnsi="仿宋_GB2312" w:cs="仿宋_GB2312" w:eastAsia="仿宋_GB2312"/>
                      <w:sz w:val="21"/>
                      <w:vertAlign w:val="superscript"/>
                    </w:rPr>
                    <w:t>-7</w:t>
                  </w:r>
                </w:p>
              </w:tc>
            </w:tr>
            <w:tr>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接口实测速率</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≥接口理论速率X90%</w:t>
                  </w:r>
                </w:p>
              </w:tc>
            </w:tr>
            <w:tr>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传输延时</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ms</w:t>
                  </w:r>
                </w:p>
              </w:tc>
            </w:tr>
            <w:tr>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网络可用性</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r>
                    <w:rPr>
                      <w:rFonts w:ascii="仿宋_GB2312" w:hAnsi="仿宋_GB2312" w:cs="仿宋_GB2312" w:eastAsia="仿宋_GB2312"/>
                      <w:sz w:val="21"/>
                    </w:rPr>
                    <w:t>8</w:t>
                  </w:r>
                  <w:r>
                    <w:rPr>
                      <w:rFonts w:ascii="仿宋_GB2312" w:hAnsi="仿宋_GB2312" w:cs="仿宋_GB2312" w:eastAsia="仿宋_GB2312"/>
                      <w:sz w:val="21"/>
                    </w:rPr>
                    <w:t>%</w:t>
                  </w:r>
                </w:p>
              </w:tc>
            </w:tr>
            <w:tr>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切换时间</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ms</w:t>
                  </w:r>
                </w:p>
              </w:tc>
            </w:tr>
            <w:tr>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可扩容性</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带宽占用率达到</w:t>
                  </w:r>
                  <w:r>
                    <w:rPr>
                      <w:rFonts w:ascii="仿宋_GB2312" w:hAnsi="仿宋_GB2312" w:cs="仿宋_GB2312" w:eastAsia="仿宋_GB2312"/>
                      <w:sz w:val="21"/>
                    </w:rPr>
                    <w:t>80%以上时，自动提升带宽</w:t>
                  </w:r>
                </w:p>
              </w:tc>
            </w:tr>
            <w:tr>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线路冗余性</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重要节点配备双线路双路由</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按采购合同执行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合同签订后，按一年为付款周期，付款前乙方需提供合法有效的足额含税发票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按一年为付款周期，付款前乙方需提供合法有效的足额含税发票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按一年为付款周期，付款前乙方需提供合法有效的足额含税发票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33.34</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未按合同要求提供服务或服务质量不能满足合同要求，采购人应当将服务商违约的情况以及拟采取的措施以书面形式报政府采购监管部门，根据政府采购监管部门的处理意见，采购人有权依据《民法典》有关条款及合同约定终止合同，并要求服务商承担违约责任。同时，政府采购监管部门有权依据《政府采购法》及相关法律法规对服务商的违法行为进行相应的处罚。（2）其他未尽事宜，按《民法典》中的相关条款执行。 争议的解决：因本合同而引起的或与本合同有关的任何争议，双方应当友好协商解决。如协商未能达成一致时，向有管辖权的人民法院提起诉讼。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需要落实的政府采购政策：（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中国残疾人联合会关于促进残疾人就业政府采购政策的通知-财库〔2017〕141号；（5）财政部 发展改革委 生态环境部 国家市场监督管理总局关于调整优化节能产品、环境标志产品政府采购执行机制的通知-财库〔2019〕9号；（6）财政部生态环境部关于印发环境标志产品政府采购品目清单的通知-财库〔2019〕18号；（7）财政部发展改革委关于印发节能产品政府采购品目清单的通知 -财库〔2019〕19号；（8）财政部 农业农村部 国家乡村振兴局关于运用政府采购政策支持乡村产业振兴的通知-财库〔2021〕19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西安市财政局关于促进政府采购公平竞争优化营商环境的通知-市财函〔2021〕431号；（16）西安市财政局关于贯彻落实&lt;西安市政府采购信用担保及信用融资工作实施方案（试行）&gt;有关事宜的通知-市财发〔2015〕4号；（17）如有最新颁布的政府采购政策，按最新的文件执行。 2、纸质版响应文件要求：成交供应商在领取成交通知书前，须向采购代理机构提供纸质版响应文件3套（1正2副），电子文件1份（U盘1份，内容包括Word版本、签章PDF版本响应文件）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1.法人或者其他组织提供营业执照等证明文件，自然人提供身份证件； 2.提供2024年度经审计的财务报告（成立时间至磋商截止时间不足一年的可提供成立后任意时段的资产负债表）或磋商截止时间前三个月内其基本账户银行出具的资信证明或政府采购信用担保机构出具的担保函；（以上两种形式的资料提供任何一种即可）； 3.提供具有履行本合同所必需的设备和专业技术能力的书面声明； 4.提供投标截止时间前六个月内任意时段的税收缴纳凭证及社会保险缴纳的凭证； 5.供应商提供参加政府采购活动前三年内在经营活动中没有重大违法记录的书面声明。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9.供应商资格证明文件.pdf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经审计的财务报告（成立时间至磋商截止时间不足一年的可提供成立后任意时段的资产负债表）或磋商截止时间前三个月内其基本账户银行出具的资信证明或政府采购信用担保机构出具的担保函；（以上两种形式的资料提供任何一种即可）；</w:t>
            </w:r>
          </w:p>
        </w:tc>
        <w:tc>
          <w:tcPr>
            <w:tcW w:type="dxa" w:w="1661"/>
          </w:tcPr>
          <w:p>
            <w:pPr>
              <w:pStyle w:val="null3"/>
            </w:pPr>
            <w:r>
              <w:rPr>
                <w:rFonts w:ascii="仿宋_GB2312" w:hAnsi="仿宋_GB2312" w:cs="仿宋_GB2312" w:eastAsia="仿宋_GB2312"/>
              </w:rPr>
              <w:t>9.供应商资格证明文件.pdf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法定代表人/负责人授权代表参加投标的，须出具法定代表人/负责人授权书、授权代表身份证及该人员单位社保缴纳证明。</w:t>
            </w:r>
          </w:p>
        </w:tc>
        <w:tc>
          <w:tcPr>
            <w:tcW w:type="dxa" w:w="1661"/>
          </w:tcPr>
          <w:p>
            <w:pPr>
              <w:pStyle w:val="null3"/>
            </w:pPr>
            <w:r>
              <w:rPr>
                <w:rFonts w:ascii="仿宋_GB2312" w:hAnsi="仿宋_GB2312" w:cs="仿宋_GB2312" w:eastAsia="仿宋_GB2312"/>
              </w:rPr>
              <w:t>9.供应商资格证明文件.pdf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供应商不得为“信用中国”网站（www.creditchina.gov.cn）中列入失信被执行人和重大税收违法失信主体的供应商，不得为中国政府采购网（www.ccgp.gov.cn）政府采购严重违法失信行为记录名单中被财政部门禁止参加政府采购活动的供应商。 开标当日，由采购人或采购代理机构通过“信用中国” 网站(www. creditchina. gov.cn)、中国政府采购网 (www.ccgp.gov.cn)查询相关主体信用记录网页截图保存，若查询结果不符合要求，按无效投标处理。</w:t>
            </w:r>
          </w:p>
        </w:tc>
        <w:tc>
          <w:tcPr>
            <w:tcW w:type="dxa" w:w="1661"/>
          </w:tcPr>
          <w:p>
            <w:pPr>
              <w:pStyle w:val="null3"/>
            </w:pPr>
            <w:r>
              <w:rPr>
                <w:rFonts w:ascii="仿宋_GB2312" w:hAnsi="仿宋_GB2312" w:cs="仿宋_GB2312" w:eastAsia="仿宋_GB2312"/>
              </w:rPr>
              <w:t>9.供应商资格证明文件.pdf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9.供应商资格证明文件.pdf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9.供应商资格证明文件.pdf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1.政府采购评审中出现下列情形之一的，评审委员会应当启动异常低价响应审查程序：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2.在磋商过程中，属于前述第1项至第4项情形的，磋商小组应当要求相关供应商在评审现场30分钟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 3.评审委员会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审委员会应当将其作为无效响应处理。</w:t>
            </w:r>
          </w:p>
        </w:tc>
        <w:tc>
          <w:tcPr>
            <w:tcW w:type="dxa" w:w="1661"/>
          </w:tcPr>
          <w:p>
            <w:pPr>
              <w:pStyle w:val="null3"/>
            </w:pPr>
            <w:r>
              <w:rPr>
                <w:rFonts w:ascii="仿宋_GB2312" w:hAnsi="仿宋_GB2312" w:cs="仿宋_GB2312" w:eastAsia="仿宋_GB2312"/>
              </w:rPr>
              <w:t>5.磋商一览表.pdf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13.业绩证明文件.pdf 11.供应商承诺书.pdf 中小企业声明函 报价表 10.商务、技术条款响应表.pdf 响应文件封面 5.磋商一览表.pdf 9.供应商资格证明文件.pdf 残疾人福利性单位声明函 标的清单 12.服务方案.pdf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5.磋商一览表.pdf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5.磋商一览表.pdf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9.供应商资格证明文件.pdf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10.商务、技术条款响应表.pdf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11.供应商承诺书.pdf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1.对本项目的实施背景、现状分析及需求理解；2.针对本项目提供专线接入方案；3.提供定期巡检及故障响应处理方案；4.提供具体的专线运维方案，包含技术支持、运维服务范围及标准、组织与分工等；5.针对本项目的组织实施方案，包括组织机构、工作时间进度表、工作程序和步骤、管理和协调方法、关键步骤的思路和要点等。 二、评审标准 1.完整性:方案必须全面，对评审内容中的各项要求有详细描述；2.可实施性:切合本项目实际情况，提出步骤清晰、合理的方案；3.针对性:方案能够紧扣项目实际情况，内容科学合理。 三、赋分标准 以上每项每完全满足一个评审标准得2分，单项满分6分。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12.服务方案.pdf</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一、评审内容：1.针对本项目的服务质量保障措施；2.专线线路稳定性及安全性说明。 二、评审标准 1.完整性:方案必须全面，对评审内容中的各项要求有详细描述； 2.可实施性:切合本项目实际情况，提出步骤清晰、合理的方案；3.针对性:方案能够紧扣项目实际情况，内容科学合理。 三、赋分标准 以上每项每完全满足一个评审标准得2分，单项满分6分。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12.服务方案.pdf</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一、评审内容：提供具体的售后服务方案，包含售后内容与措施、响应时限、售后服务承诺等。 二、评审标准 1.完整性:方案必须全面，对评审内容中的各项要求有详细描述；2.可实施性:切合本项目实际情况，提出步骤清晰、合理的方案；3.针对性:方案能够紧扣项目实际情况，内容科学合理。 三、赋分标准 以上每项每完全满足一个评审标准得2分，单项满分6分。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12.服务方案.pdf</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一、评审内容：针对本项目特点提出可能出现的紧急情况及对应的应急措施，评标委员会根据响应情况进行赋分。 二、评审标准 1.完整性:方案必须全面，对评审内容中的各项要求有详细描述；2.可实施性:切合本项目实际情况，提出步骤清晰、合理的方案；3.针对性:方案能够紧扣项目实际情况，内容科学合理。 三、赋分标准 以上每项每完全满足一个评审标准得2分，单项满分6分。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一、评审内容：提供针对本项目的保密措施（包括但不限于：保密制度、数据安全保密措施、泄密处罚制度、补救措施）。 二、评审标准 1.完整性:方案必须全面，对评审内容中的各项要求有详细描述；2.可实施性:切合本项目实际情况，提出步骤清晰、合理的方案；3.针对性:方案能够紧扣项目实际情况，内容科学合理。 三、赋分标准 以上每项每完全满足一个评审标准得2分，单项满分6分。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12.服务方案.pdf</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一、评审内容：供应商提供针对本项目的重难点分析。 二、评审标准 1.完整性:方案必须全面，对评审内容中的各项要求有详细描述；2.可实施性:切合本项目实际情况，提出步骤清晰、合理的方案；3.针对性:方案能够紧扣项目实际情况，内容科学合理。 三、赋分标准 以上每项每完全满足一个评审标准得2分，单项满分6分。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12.服务方案.pdf</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1.供应商拟投入本项目的团队人员具有通信网络类工程师、注册信息安全专业人员、信息系统项目管理师证书等相关专业资质证书，提供1份得2分，满分8分。 2.供应商拟投入本项目的团队人员具备中级及以上职称，提供1份得1分，满分6分。 提供相关证书复印件，未提供不得分。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供应商提供2023年1月1日至今（以合同签订日期为准）类似项目业绩,每项业绩得2.5分，最高得10分。 注：业绩须提供合同复印件(加盖供应商公章)；弄虚作假者取消其磋商成交资格。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13.业绩证明文件.pdf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1.经初审合格的磋商响应文件，其磋商报价为有效磋商报价。对符合政策性扣减的有效 投标报价进行政策性扣减，并依据扣减后的价格（评审价格）进行价格评审。 2.满足 磋商文件实质性要求且最后报价最低的投标人的价格为磋商基准价，其价格分为满分。 3.磋商报价得分=（磋商基准价/最终磋商报价）×10。计算分数时四舍五入取小数点 后两位。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5.磋商一览表.pdf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详见附件：5.磋商一览表.pdf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详见附件：9.供应商资格证明文件.pdf</w:t>
      </w:r>
    </w:p>
    <w:p>
      <w:pPr>
        <w:pStyle w:val="null3"/>
        <w:ind w:firstLine="960"/>
      </w:pPr>
      <w:r>
        <w:rPr>
          <w:rFonts w:ascii="仿宋_GB2312" w:hAnsi="仿宋_GB2312" w:cs="仿宋_GB2312" w:eastAsia="仿宋_GB2312"/>
        </w:rPr>
        <w:t>详见附件：10.商务、技术条款响应表.pdf</w:t>
      </w:r>
    </w:p>
    <w:p>
      <w:pPr>
        <w:pStyle w:val="null3"/>
        <w:ind w:firstLine="960"/>
      </w:pPr>
      <w:r>
        <w:rPr>
          <w:rFonts w:ascii="仿宋_GB2312" w:hAnsi="仿宋_GB2312" w:cs="仿宋_GB2312" w:eastAsia="仿宋_GB2312"/>
        </w:rPr>
        <w:t>详见附件：11.供应商承诺书.pdf</w:t>
      </w:r>
    </w:p>
    <w:p>
      <w:pPr>
        <w:pStyle w:val="null3"/>
        <w:ind w:firstLine="960"/>
      </w:pPr>
      <w:r>
        <w:rPr>
          <w:rFonts w:ascii="仿宋_GB2312" w:hAnsi="仿宋_GB2312" w:cs="仿宋_GB2312" w:eastAsia="仿宋_GB2312"/>
        </w:rPr>
        <w:t>详见附件：12.服务方案.pdf</w:t>
      </w:r>
    </w:p>
    <w:p>
      <w:pPr>
        <w:pStyle w:val="null3"/>
        <w:ind w:firstLine="960"/>
      </w:pPr>
      <w:r>
        <w:rPr>
          <w:rFonts w:ascii="仿宋_GB2312" w:hAnsi="仿宋_GB2312" w:cs="仿宋_GB2312" w:eastAsia="仿宋_GB2312"/>
        </w:rPr>
        <w:t>详见附件：13.业绩证明文件.pdf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