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版本号：SXZHZC2026-CS00520260226001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硬件设施提升项目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SXZHZC2026-CS005</w:t>
      </w:r>
      <w:r>
        <w:br/>
      </w:r>
      <w:r>
        <w:br/>
      </w:r>
      <w:r>
        <w:br/>
      </w:r>
    </w:p>
    <w:p>
      <w:pPr>
        <w:pStyle w:val="null3"/>
        <w:jc w:val="center"/>
        <w:outlineLvl w:val="2"/>
      </w:pPr>
      <w:r>
        <w:rPr>
          <w:rFonts w:ascii="仿宋_GB2312" w:hAnsi="仿宋_GB2312" w:cs="仿宋_GB2312" w:eastAsia="仿宋_GB2312"/>
          <w:sz w:val="28"/>
          <w:b/>
        </w:rPr>
        <w:t>西安经开第十二小学</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西安经开第十二小学</w:t>
      </w:r>
      <w:r>
        <w:rPr>
          <w:rFonts w:ascii="仿宋_GB2312" w:hAnsi="仿宋_GB2312" w:cs="仿宋_GB2312" w:eastAsia="仿宋_GB2312"/>
        </w:rPr>
        <w:t>委托，拟对</w:t>
      </w:r>
      <w:r>
        <w:rPr>
          <w:rFonts w:ascii="仿宋_GB2312" w:hAnsi="仿宋_GB2312" w:cs="仿宋_GB2312" w:eastAsia="仿宋_GB2312"/>
        </w:rPr>
        <w:t>硬件设施提升项目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SXZHZC2026-CS005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硬件设施提升项目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西安经开第十二小学硬件设施提升项目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采购包1（硬件设施提升项目）：属于专门面向中小企业采购。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2、供应商资质要求：供应商具备建设部门颁发的建筑工程施工总承包三级及以上资质，且具有有效的安全生产许可证；</w:t>
      </w:r>
    </w:p>
    <w:p>
      <w:pPr>
        <w:pStyle w:val="null3"/>
      </w:pPr>
      <w:r>
        <w:rPr>
          <w:rFonts w:ascii="仿宋_GB2312" w:hAnsi="仿宋_GB2312" w:cs="仿宋_GB2312" w:eastAsia="仿宋_GB2312"/>
        </w:rPr>
        <w:t>3、拟派项目负责人资质和专业要求 ：拟派项目经理具备建筑工程专业二级及以上注册建造师执业资格且在本单位注册，具有有效的安全生产考核合格证，且未担任其他在建工程项目的项目经理（提供无在建承诺书）；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西安经开第十二小学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西安市未央区凤城九路136号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029-86260803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西安市经济技术开发区政府采购管理科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采购包1：1,974,133.87元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西安经开第十二小学</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西安经开第十二小学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西安经开第十二小学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联系人：程康 徐浩 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1,974,133.87</w:t>
      </w:r>
    </w:p>
    <w:p>
      <w:pPr>
        <w:pStyle w:val="null3"/>
      </w:pPr>
      <w:r>
        <w:rPr>
          <w:rFonts w:ascii="仿宋_GB2312" w:hAnsi="仿宋_GB2312" w:cs="仿宋_GB2312" w:eastAsia="仿宋_GB2312"/>
        </w:rPr>
        <w:t>采购包最高限价（元）: 1,974,133.87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硬件设施提升项目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1,974,133.87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标的名称：硬件设施提升项目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主要包含体育馆钢结构耐火改造，墙面软包耐火改造，吊顶天花材料耐火改造及电路线路改造，排风设施改造、室内排水管维修及墙面重新喷漆、教学楼塑钢窗户、窗饰更换、学校屋顶种植区防水层翻修等，具体内容详见工程量清单及相关附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工期：</w:t>
            </w:r>
            <w:r>
              <w:rPr>
                <w:rFonts w:ascii="仿宋_GB2312" w:hAnsi="仿宋_GB2312" w:cs="仿宋_GB2312" w:eastAsia="仿宋_GB2312"/>
                <w:sz w:val="24"/>
              </w:rPr>
              <w:t>30日历天。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质保期：自项目完成验收合格之日起防水工程</w:t>
            </w:r>
            <w:r>
              <w:rPr>
                <w:rFonts w:ascii="仿宋_GB2312" w:hAnsi="仿宋_GB2312" w:cs="仿宋_GB2312" w:eastAsia="仿宋_GB2312"/>
                <w:sz w:val="24"/>
              </w:rPr>
              <w:t>5年，其他工程2年。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3.3.2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3.3.3.由于全文为文件模板固定格式，本项目仍需要提供已标价工程量清单。 本项目供应商在首次提交的响应文件中的报价（即首次报价）应按磋商文件及工程量清单编制要求，逐一列出报价的构成及明细，并提供已标价工程量清单。已标价工程量清单的扉页（仅指投标总价扉页）应由注册造价人员签字并盖执业印章。供应商提交的已标价工程量清单应符合本项目工程量清单以及清单说明的要求。 3.3.4根据《关于推动解决政府采购异常低价问题的通知》（ 财库〔2026〕2号）规定，政府采购评审中出现下列情形之一的，磋商小组应当启动异常低价投标（响应）审查程序： 1.最终（响应）报价低于全部通过符合性审查供应商最终（响应）报价平均值50%的，即投标（响应）报价&lt;全部通过符合性审查供应商最终（响应）报价平均值×50%； 2.最终（响应）报价低于通过符合性审查的次低报价供应商最终（响应）报价50%的，即投标（响应）报价&lt;通过符合性审查的次低报价供应商投标（响应）报价×50%； 3.最终（响应）报价低于采购项目最高限价45%的，即最终（响应）报价&lt;采购项目最高限价×45%； 4.磋商小组基于专业判断，认为供应商报价过低，有可能影响产品质量或者不能诚信履约的其他情形。 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2.提供2024年或2025年度经审计的财务报告（包括审计报告、资产负债表、利润表、现金流量表、所有者权益变动表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 3.提供具有履行合同所必需的设备和专业技术能力的承诺； 4.提供响应文件递交截止时间前一年内已缴纳的至少一个月的纳税证明或完税证明（任意税种，印花税及个人所得税除外），纳税证明或完税证明上应有代收机构或税务机关的公章或业务专用章，依法免税的供应商应提供相应证明文件； 5.提供响应文件递交截止时间前一年内已缴存的至少一个月的社会保障资金缴存单据或社保机构开具的社会保险参保缴费情况证明，依法不需要缴纳社会保障资金的供应商应提供相应证明文件；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供应商具备建设部门颁发的建筑工程施工总承包三级及以上资质，且具有有效的安全生产许可证；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有可能影响工程质量或者不能诚信履约的，碰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中小企业声明函 技术方案 技术和商务偏离表 响应文件封面 资格证明文件 业绩证明材料 残疾人福利性单位声明函 报价函 陕西省政府采购供应商拒绝政府采购领域商业贿赂承诺书 标的清单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技术方案 技术和商务偏离表 响应文件封面 资格证明文件 业绩证明材料 残疾人福利性单位声明函 报价函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技术方案 技术和商务偏离表 响应文件封面 资格证明文件 业绩证明材料 残疾人福利性单位声明函 报价函 陕西省政府采购供应商拒绝政府采购领域商业贿赂承诺书 标的清单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16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2分，方案缺漏项或只有标题没有实质性内容的每项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整的计16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2分，方案缺漏项或只有标题没有实质性内容的每项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16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2分，方案缺漏项或只有标题没有实质性内容的每项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不合理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施工过程中的相关承诺②投入材料质量承诺③质量保修期服务承诺④服务响应时间⑤服务响应措施。服务承诺合理、可行的计10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供应商2023年1月以来类似项目业绩；每提供1份计2分，最高得10分。业绩证明（以合同或中标/成交通知书为准，须在磋商响应文件中附以上证明材料的扫描件加盖单位公章）弄虚作假者，取消其成交资格。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