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版本号：HRC-ZBDL-2026-00016.1B120260227001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辖区排水坑防护栏安装项目(二次)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HRC-ZBDL-2026-00016.1B1</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辖区排水坑防护栏安装项目(二次)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HRC-ZBDL-2026-00016.1B1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辖区排水坑防护栏安装项目(二次)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保障北田街办辖区群众生命安全，防范因水坑导致安全事故发生，解决因垃圾倾倒导致水体黑臭问题。按照管委会黑臭水治理和安全隐患整治工作要求，现采购辖区排水坑防护栏安装项目，对北田街办辖区中分布在11村、30个组的46个排水坑周边安装金属铁丝网片护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采购包1（辖区排水坑防护栏安装）：属于专门面向中小企业采购。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与授权代表：法定代表人（主要负责人）委托代理人参加磋商时，应提供法定代表人（主要负责人）委托授权书和授权代表本单位证明（开标前六个月任意一月的个人养老保险缴纳证明）；法定代表人（主要负责人）亲自参加磋商时，应提供法定代表人（主要负责人）身份证明书和本单位证明。</w:t>
      </w:r>
    </w:p>
    <w:p>
      <w:pPr>
        <w:pStyle w:val="null3"/>
      </w:pPr>
      <w:r>
        <w:rPr>
          <w:rFonts w:ascii="仿宋_GB2312" w:hAnsi="仿宋_GB2312" w:cs="仿宋_GB2312" w:eastAsia="仿宋_GB2312"/>
        </w:rPr>
        <w:t>2、企业资质：供应商具有建设行政主管部门颁发的市政公用工程施工总承包三级及以上资质或建筑工程施工总承包三级及以上资质，且具备有效的安全生产许可证。</w:t>
      </w:r>
    </w:p>
    <w:p>
      <w:pPr>
        <w:pStyle w:val="null3"/>
      </w:pPr>
      <w:r>
        <w:rPr>
          <w:rFonts w:ascii="仿宋_GB2312" w:hAnsi="仿宋_GB2312" w:cs="仿宋_GB2312" w:eastAsia="仿宋_GB2312"/>
        </w:rPr>
        <w:t>3、项目经理：拟派项目经理具备市政公用工程或建筑工程专业二级及以上注册建造师证书和安全生产考核合格证（B证），且无在建项目（提供承诺书）。</w:t>
      </w:r>
    </w:p>
    <w:p>
      <w:pPr>
        <w:pStyle w:val="null3"/>
      </w:pPr>
      <w:r>
        <w:rPr>
          <w:rFonts w:ascii="仿宋_GB2312" w:hAnsi="仿宋_GB2312" w:cs="仿宋_GB2312" w:eastAsia="仿宋_GB2312"/>
        </w:rPr>
        <w:t>4、信用查询：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5、控股管理关系：单位负责人为同一人或者存在直接控股、管理关系的不同供应商，不得参加同一合同包下的政府采购活动；</w:t>
      </w:r>
    </w:p>
    <w:p>
      <w:pPr>
        <w:pStyle w:val="null3"/>
      </w:pPr>
      <w:r>
        <w:rPr>
          <w:rFonts w:ascii="仿宋_GB2312" w:hAnsi="仿宋_GB2312" w:cs="仿宋_GB2312" w:eastAsia="仿宋_GB2312"/>
        </w:rPr>
        <w:t>6、联合体：本项目不接受联合体磋商。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临潼区北田街道办事处经办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029-85393806/13227022154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采购包1：542,600.00元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向中标（成交）供应商收取代理服务费，不足陆仟元按陆仟元收取。 2、中标人在领取中标通知书前，须向采购代理机构一次性支付招标代理服务费。 3、代理服务费缴纳账户信息： 户名：华睿诚项目管理有限公司 开户行名称：西安银行小寨东路支行 账号：8160 1158 0000 1012 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联系电话：13227022154</w:t>
      </w:r>
    </w:p>
    <w:p>
      <w:pPr>
        <w:pStyle w:val="null3"/>
      </w:pPr>
      <w:r>
        <w:rPr>
          <w:rFonts w:ascii="仿宋_GB2312" w:hAnsi="仿宋_GB2312" w:cs="仿宋_GB2312" w:eastAsia="仿宋_GB2312"/>
        </w:rPr>
        <w:t>地址：陕西省西安市曲江新区雁翔路3269号旺座曲江E座29层2901号</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542,600.00</w:t>
      </w:r>
    </w:p>
    <w:p>
      <w:pPr>
        <w:pStyle w:val="null3"/>
      </w:pPr>
      <w:r>
        <w:rPr>
          <w:rFonts w:ascii="仿宋_GB2312" w:hAnsi="仿宋_GB2312" w:cs="仿宋_GB2312" w:eastAsia="仿宋_GB2312"/>
        </w:rPr>
        <w:t>采购包最高限价（元）: 542,600.00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辖区排水坑防护栏安装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542,600.00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标的名称：辖区排水坑防护栏安装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72"/>
              <w:gridCol w:w="334"/>
              <w:gridCol w:w="591"/>
              <w:gridCol w:w="715"/>
              <w:gridCol w:w="788"/>
              <w:gridCol w:w="372"/>
            </w:tblGrid>
            <w:tr>
              <w:tc>
                <w:tcPr>
                  <w:tcW w:type="dxa" w:w="317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北田街办各村水坑安装防护栏明细表</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村名</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水坑的位置</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数量（个）</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总米数（</w:t>
                  </w:r>
                  <w:r>
                    <w:rPr>
                      <w:rFonts w:ascii="仿宋_GB2312" w:hAnsi="仿宋_GB2312" w:cs="仿宋_GB2312" w:eastAsia="仿宋_GB2312"/>
                      <w:sz w:val="24"/>
                      <w:color w:val="000000"/>
                    </w:rPr>
                    <w:t>m）</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垣头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垣头五组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任留</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任留村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月掌村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月掌二组桩北</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滩王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3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474</w:t>
                  </w:r>
                </w:p>
              </w:tc>
              <w:tc>
                <w:tcPr>
                  <w:tcW w:type="dxa" w:w="3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w:t>
                  </w:r>
                  <w:r>
                    <w:rPr>
                      <w:rFonts w:ascii="仿宋_GB2312" w:hAnsi="仿宋_GB2312" w:cs="仿宋_GB2312" w:eastAsia="仿宋_GB2312"/>
                      <w:sz w:val="24"/>
                      <w:color w:val="000000"/>
                    </w:rPr>
                    <w:t>3组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八组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田严</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3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七组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尖角</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3组</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西渭</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四组北边</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赵刘</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刘家组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韩中组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温梁</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大队附近</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北田</w:t>
                  </w:r>
                  <w:r>
                    <w:rPr>
                      <w:rFonts w:ascii="仿宋_GB2312" w:hAnsi="仿宋_GB2312" w:cs="仿宋_GB2312" w:eastAsia="仿宋_GB2312"/>
                      <w:sz w:val="21"/>
                    </w:rPr>
                    <w:t xml:space="preserve"> </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r>
                    <w:rPr>
                      <w:rFonts w:ascii="仿宋_GB2312" w:hAnsi="仿宋_GB2312" w:cs="仿宋_GB2312" w:eastAsia="仿宋_GB2312"/>
                      <w:sz w:val="24"/>
                      <w:color w:val="000000"/>
                    </w:rPr>
                    <w:t>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马陵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马陵三组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马陵四组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46</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7140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7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二、项目实施内容</w:t>
                  </w:r>
                </w:p>
                <w:p>
                  <w:pPr>
                    <w:pStyle w:val="null3"/>
                    <w:ind w:firstLine="480"/>
                    <w:jc w:val="both"/>
                  </w:pPr>
                  <w:r>
                    <w:rPr>
                      <w:rFonts w:ascii="仿宋_GB2312" w:hAnsi="仿宋_GB2312" w:cs="仿宋_GB2312" w:eastAsia="仿宋_GB2312"/>
                      <w:sz w:val="24"/>
                    </w:rPr>
                    <w:t>1、按照水坑实际情况对水坑周边进行平整;</w:t>
                  </w:r>
                </w:p>
                <w:p>
                  <w:pPr>
                    <w:pStyle w:val="null3"/>
                    <w:ind w:firstLine="480"/>
                    <w:jc w:val="both"/>
                  </w:pPr>
                  <w:r>
                    <w:rPr>
                      <w:rFonts w:ascii="仿宋_GB2312" w:hAnsi="仿宋_GB2312" w:cs="仿宋_GB2312" w:eastAsia="仿宋_GB2312"/>
                      <w:sz w:val="24"/>
                    </w:rPr>
                    <w:t>2、在46个水坑周边安装高1.8m、直径48mm的金属铁丝网片护栏，一个网片3米。</w:t>
                  </w:r>
                </w:p>
                <w:p>
                  <w:pPr>
                    <w:pStyle w:val="null3"/>
                    <w:ind w:firstLine="480"/>
                    <w:jc w:val="both"/>
                  </w:pPr>
                  <w:r>
                    <w:rPr>
                      <w:rFonts w:ascii="仿宋_GB2312" w:hAnsi="仿宋_GB2312" w:cs="仿宋_GB2312" w:eastAsia="仿宋_GB2312"/>
                      <w:sz w:val="24"/>
                    </w:rPr>
                    <w:t>3、工期：合同签订后20日历天内完成施工。</w:t>
                  </w:r>
                </w:p>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rPr>
                    <w:t>（</w:t>
                  </w:r>
                  <w:r>
                    <w:rPr>
                      <w:rFonts w:ascii="仿宋_GB2312" w:hAnsi="仿宋_GB2312" w:cs="仿宋_GB2312" w:eastAsia="仿宋_GB2312"/>
                      <w:sz w:val="24"/>
                    </w:rPr>
                    <w:t>1）防护栏全费用综合单价上限价为76元/米，总价上限价为54.26万元。</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磋商最后报价，在采购需求无实质性变更下，不得高于首次磋商报价。报价保留两位小数，四舍五入。</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符合《中华人民共和国政府采购法》第二十二条的规定：</w:t>
            </w:r>
          </w:p>
        </w:tc>
        <w:tc>
          <w:tcPr>
            <w:tcW w:type="dxa" w:w="3322"/>
          </w:tcPr>
          <w:p>
            <w:pPr>
              <w:pStyle w:val="null3"/>
            </w:pPr>
            <w:r>
              <w:rPr>
                <w:rFonts w:ascii="仿宋_GB2312" w:hAnsi="仿宋_GB2312" w:cs="仿宋_GB2312" w:eastAsia="仿宋_GB2312"/>
              </w:rPr>
              <w:t>1-1、在中华人民共和国境内注册，依法取得并有效存续的营业执照（含电子营业执照）\事业单位法人证书\民办非企业单位登记证书\非企业专业服务机构执业许可证等，自然人的身份证明； 1-2、财务状况报告（任选其一） （1）提供2023年或2024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 1-3、社会保障资金缴纳证明：提交响应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证明文件，证明其依法不需要缴纳社会保障资金） 1-4、税收缴纳证明：提交响应文件截止时间前六个月内至少一个月的纳税证明或完税证明（增值税、企业所得税至少提供一种），纳税证明或完税证明上应有代收机构或税务机关的公章或业务专用章；（依法免税的供应商，应提供相应证明文件，证明其依法免税） 1-5、提供具有履行合同所必需的设备和专业技术能力的承诺； 1-6、参加政府采购活动前三年内，在经营活动中没有重大违法记录的书面声明。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2023年或2024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法定代表人与授权代表</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和授权代表本单位证明（开标前六个月任意一月的个人养老保险缴纳证明）；法定代表人（主要负责人）亲自参加磋商时，应提供法定代表人（主要负责人）身份证明书和本单位证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供应商具有建设行政主管部门颁发的市政公用工程施工总承包三级及以上资质或建筑工程施工总承包三级及以上资质，且具备有效的安全生产许可证。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拟派项目经理具备市政公用工程或建筑工程专业二级及以上注册建造师证书和安全生产考核合格证（B证），且无在建项目（提供承诺书）。</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资格证明材料 响应函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附表：分项报价表 供应商类似项目业绩一览表.docx 中小企业声明函 资格证明材料 施工组织设计.docx 供应商承诺书.docx 响应文件封面 残疾人福利性单位声明函 报价函 技术和商务偏离表.docx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附表：分项报价表 供应商类似项目业绩一览表.docx 中小企业声明函 资格证明材料 施工组织设计.docx 供应商承诺书.docx 响应文件封面 残疾人福利性单位声明函 报价函 技术和商务偏离表.docx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附表：分项报价表 供应商类似项目业绩一览表.docx 中小企业声明函 资格证明材料 施工组织设计.docx 供应商承诺书.docx 响应文件封面 残疾人福利性单位声明函 报价函 技术和商务偏离表.docx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附表：分项报价表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技术和商务</w:t>
            </w:r>
          </w:p>
        </w:tc>
        <w:tc>
          <w:tcPr>
            <w:tcW w:type="dxa" w:w="3322"/>
          </w:tcPr>
          <w:p>
            <w:pPr>
              <w:pStyle w:val="null3"/>
            </w:pPr>
            <w:r>
              <w:rPr>
                <w:rFonts w:ascii="仿宋_GB2312" w:hAnsi="仿宋_GB2312" w:cs="仿宋_GB2312" w:eastAsia="仿宋_GB2312"/>
              </w:rPr>
              <w:t>技术、商务内容达到采购要求，未出现重大负偏差，未降低磋商文件要求。</w:t>
            </w:r>
          </w:p>
        </w:tc>
        <w:tc>
          <w:tcPr>
            <w:tcW w:type="dxa" w:w="1661"/>
          </w:tcPr>
          <w:p>
            <w:pPr>
              <w:pStyle w:val="null3"/>
            </w:pPr>
            <w:r>
              <w:rPr>
                <w:rFonts w:ascii="仿宋_GB2312" w:hAnsi="仿宋_GB2312" w:cs="仿宋_GB2312" w:eastAsia="仿宋_GB2312"/>
              </w:rPr>
              <w:t>响应文件封面 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附表：分项报价表 供应商类似项目业绩一览表.docx 中小企业声明函 资格证明材料 施工组织设计.docx 供应商承诺书.docx 响应文件封面 残疾人福利性单位声明函 报价函 技术和商务偏离表.docx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根据供应商提供的施工方案内容进行打分，包含但不限于以下内容：①施工部署；②进度计划；③技术难点、应对措施；④施工流程图或工艺流程；以上内容每缺一项扣 3 分，扣完为止。 2、评审标准： ①完整性：内容详细全面，对本项目了解透彻； ②可实施性：切合本项目实际情况，方案全面、施工步骤清晰、合理； ③针对性：方案能够紧扣项目实际情况，内容科学合理。 3、赋分标准：具体内容每完全满足一项评审标准得 1 分，满分 3 分。 4、未提供得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供应商提供针对本项目实际需求编制的工程质量的技术组织措施，内容包含但不限于：①质量控制目标及分阶段施工 的重点难点目标；②针对性的质量管理措施；③质量管理体 系（体系需包含质量责任、人员岗位职责、质量检查等）； 以上内容每缺一项扣 3 分，扣完为止。 2、评审标准： ①完整性：内容详细全面，对本项目了解透彻； ②可实施性：切合本项目实际情况，措施全面、清晰、合理； ③针对性：方案能够紧扣项目实际情况，内容科学合理。 3、赋分标准：具体内容每完全满足一项评审标准得 1 分，满分 3 分。 4、未提供得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编制的安全文明施工的技术组织措施，内容包含但不限于：①安全目标及文明施工措施（措施包含场地整洁、噪音控制、扬尘治理）；②安全体系健全度（体系包含安全管理制度、人员培训、应急演练）；③应急预案（包括对事故现场的保护及处理、损坏护栏的处理及替补更换计划、极端恶劣天气下护栏保护措施）；以上内容每缺一项扣 3 分，扣完为止。 2、评审标准： ①完整性：内容详细全面，对本项目了解透彻； ②可实施性：切合本项目实际情况，措施全面、清晰、合理； ③针对性：方案能够紧扣项目实际情况，内容科学合理。 3、赋分标准：具体内容每完全满足一项评审标准得 1 分，满分 3 分。 4、未提供得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 施，内容包含但不限于：①工期计划；②关键节点工期分析；③延误工期补救措施；以上内容每缺一项扣 3 分，扣完为止。 2、评审标准： ①完整性：内容详细全面，对本项目了解透彻； ②可实施性：切合本项目实际情况，措施全面、清晰、合理； ③针对性：方案能够紧扣项目实际情况，内容科学合理。 3、赋分标准：具体内容每完全满足一项评审标准得 1 分，满分 3 分。 4、未提供得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根据供应商投入的施工机械配备和材料投入计划进行综合打分：①施工机械配备；②材料投入计划；以上内容每缺一项扣 3 分，扣完为止。 2、评审标准： ①齐全程度：齐全详细，能完全满足招标文件要求； ②实用性：质量有保障、使用率高、安全性能强； ③针对性：能紧扣项目实际情况，配置合理科学； 3、赋分标准：具体内容每完全满足一项评审标准得 1 分，满分 3 分。 4、未提供得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1、组织机构完整，人员配置合理，职责明确得 7 分； 2、组织机构较完整，人员配置较合理，职责较明确得 4 分； 3、拟投入的管理机构及劳动力数量一般、满足项目需要可 能存在困难得 1 分。 4、未提供得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1、新技术、新产品、新工艺、新材料的应用科学、合理、 经济得 4 分； 2、较科学、较合理、较经济得 2 分； 3、与本项目使用匹配度低得 1 分。 4、未提供得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施工现场扬尘污染防治措施（含治污减霾措施）</w:t>
            </w:r>
          </w:p>
        </w:tc>
        <w:tc>
          <w:tcPr>
            <w:tcW w:type="dxa" w:w="2492"/>
          </w:tcPr>
          <w:p>
            <w:pPr>
              <w:pStyle w:val="null3"/>
            </w:pPr>
            <w:r>
              <w:rPr>
                <w:rFonts w:ascii="仿宋_GB2312" w:hAnsi="仿宋_GB2312" w:cs="仿宋_GB2312" w:eastAsia="仿宋_GB2312"/>
              </w:rPr>
              <w:t>1、针对本项目提供的扬尘污染防治措施（含治污减霾措施）科学、合理、可行得 4 分； 2、措施较科学、较合理、 较可行得 2 分； 3、措施含糊不清、欠缺可行性得 1 分。 4、未提供得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供应商2021年1月以来类似项目业绩；每提供1份计2.5分，最高得10分。注：需提供合同首页、内容页和双方盖章页。以合同为准，内容不清晰，或者资料不全的，不得分。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1、评审基准价：满足磋商文件要求且最后磋商报价最低的投标报价为评标基准价。 2、供应商报价得分：报价得分=（评审基准价／最后报价）×30 3、最低报价不是成交的唯一依据。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附表：分项报价表</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详见附件：附表：分项报价表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