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7676AB">
      <w:pPr>
        <w:pageBreakBefore w:val="0"/>
        <w:numPr>
          <w:ilvl w:val="0"/>
          <w:numId w:val="1"/>
        </w:numPr>
        <w:wordWrap/>
        <w:overflowPunct/>
        <w:topLinePunct w:val="0"/>
        <w:bidi w:val="0"/>
        <w:spacing w:line="360" w:lineRule="auto"/>
        <w:jc w:val="center"/>
        <w:outlineLvl w:val="1"/>
        <w:rPr>
          <w:rFonts w:hint="eastAsia" w:ascii="仿宋" w:hAnsi="仿宋" w:eastAsia="仿宋" w:cs="仿宋"/>
          <w:b/>
          <w:sz w:val="36"/>
        </w:rPr>
      </w:pPr>
      <w:r>
        <w:rPr>
          <w:rFonts w:hint="eastAsia" w:ascii="仿宋" w:hAnsi="仿宋" w:eastAsia="仿宋" w:cs="仿宋"/>
          <w:b/>
          <w:sz w:val="36"/>
        </w:rPr>
        <w:t>拟签订采购合同文本</w:t>
      </w:r>
    </w:p>
    <w:p w14:paraId="76424C30">
      <w:pPr>
        <w:pStyle w:val="2"/>
        <w:numPr>
          <w:ilvl w:val="0"/>
          <w:numId w:val="0"/>
        </w:numPr>
        <w:outlineLvl w:val="9"/>
        <w:rPr>
          <w:rFonts w:hint="eastAsia"/>
        </w:rPr>
      </w:pPr>
    </w:p>
    <w:p w14:paraId="3DC77198">
      <w:pPr>
        <w:keepNext w:val="0"/>
        <w:keepLines w:val="0"/>
        <w:pageBreakBefore w:val="0"/>
        <w:widowControl/>
        <w:shd w:val="clear" w:color="auto" w:fill="auto"/>
        <w:kinsoku w:val="0"/>
        <w:wordWrap/>
        <w:overflowPunct/>
        <w:topLinePunct w:val="0"/>
        <w:autoSpaceDE w:val="0"/>
        <w:autoSpaceDN w:val="0"/>
        <w:bidi w:val="0"/>
        <w:adjustRightInd w:val="0"/>
        <w:snapToGrid w:val="0"/>
        <w:spacing w:line="360" w:lineRule="auto"/>
        <w:ind w:right="0"/>
        <w:jc w:val="center"/>
        <w:textAlignment w:val="baseline"/>
        <w:rPr>
          <w:rFonts w:hint="eastAsia" w:ascii="仿宋" w:hAnsi="仿宋" w:eastAsia="仿宋" w:cs="仿宋"/>
          <w:b/>
          <w:bCs/>
          <w:snapToGrid w:val="0"/>
          <w:color w:val="000000"/>
          <w:spacing w:val="0"/>
          <w:kern w:val="0"/>
          <w:position w:val="0"/>
          <w:sz w:val="24"/>
          <w:szCs w:val="24"/>
          <w:highlight w:val="none"/>
          <w:lang w:val="en-US" w:eastAsia="zh-CN" w:bidi="ar-SA"/>
        </w:rPr>
      </w:pPr>
    </w:p>
    <w:p w14:paraId="7F7938FE">
      <w:pPr>
        <w:keepNext w:val="0"/>
        <w:keepLines w:val="0"/>
        <w:pageBreakBefore w:val="0"/>
        <w:widowControl/>
        <w:shd w:val="clear" w:color="auto" w:fill="auto"/>
        <w:kinsoku w:val="0"/>
        <w:wordWrap/>
        <w:overflowPunct/>
        <w:topLinePunct w:val="0"/>
        <w:autoSpaceDE w:val="0"/>
        <w:autoSpaceDN w:val="0"/>
        <w:bidi w:val="0"/>
        <w:adjustRightInd w:val="0"/>
        <w:snapToGrid w:val="0"/>
        <w:spacing w:line="360" w:lineRule="auto"/>
        <w:ind w:right="0"/>
        <w:jc w:val="center"/>
        <w:textAlignment w:val="baseline"/>
        <w:rPr>
          <w:rFonts w:hint="eastAsia" w:ascii="仿宋" w:hAnsi="仿宋" w:eastAsia="仿宋" w:cs="仿宋"/>
          <w:b/>
          <w:bCs/>
          <w:snapToGrid w:val="0"/>
          <w:color w:val="000000"/>
          <w:spacing w:val="0"/>
          <w:kern w:val="0"/>
          <w:position w:val="0"/>
          <w:sz w:val="24"/>
          <w:szCs w:val="24"/>
          <w:highlight w:val="none"/>
          <w:lang w:val="en-US" w:eastAsia="zh-CN" w:bidi="ar-SA"/>
        </w:rPr>
      </w:pPr>
    </w:p>
    <w:p w14:paraId="7297F1D7">
      <w:pPr>
        <w:keepNext w:val="0"/>
        <w:keepLines w:val="0"/>
        <w:pageBreakBefore w:val="0"/>
        <w:widowControl/>
        <w:shd w:val="clear" w:color="auto" w:fill="auto"/>
        <w:kinsoku w:val="0"/>
        <w:wordWrap/>
        <w:overflowPunct/>
        <w:topLinePunct w:val="0"/>
        <w:autoSpaceDE w:val="0"/>
        <w:autoSpaceDN w:val="0"/>
        <w:bidi w:val="0"/>
        <w:adjustRightInd w:val="0"/>
        <w:snapToGrid w:val="0"/>
        <w:spacing w:line="360" w:lineRule="auto"/>
        <w:ind w:right="0"/>
        <w:jc w:val="center"/>
        <w:textAlignment w:val="baseline"/>
        <w:rPr>
          <w:rFonts w:hint="eastAsia" w:ascii="仿宋" w:hAnsi="仿宋" w:eastAsia="仿宋" w:cs="仿宋"/>
          <w:b/>
          <w:bCs/>
          <w:snapToGrid w:val="0"/>
          <w:color w:val="000000"/>
          <w:spacing w:val="0"/>
          <w:kern w:val="0"/>
          <w:position w:val="0"/>
          <w:sz w:val="24"/>
          <w:szCs w:val="24"/>
          <w:highlight w:val="none"/>
          <w:lang w:val="en-US" w:eastAsia="zh-CN" w:bidi="ar-SA"/>
        </w:rPr>
      </w:pPr>
    </w:p>
    <w:p w14:paraId="675DAB42">
      <w:pPr>
        <w:keepNext w:val="0"/>
        <w:keepLines w:val="0"/>
        <w:pageBreakBefore w:val="0"/>
        <w:widowControl/>
        <w:shd w:val="clear" w:color="auto" w:fill="auto"/>
        <w:kinsoku w:val="0"/>
        <w:wordWrap/>
        <w:overflowPunct/>
        <w:topLinePunct w:val="0"/>
        <w:autoSpaceDE w:val="0"/>
        <w:autoSpaceDN w:val="0"/>
        <w:bidi w:val="0"/>
        <w:adjustRightInd w:val="0"/>
        <w:snapToGrid w:val="0"/>
        <w:spacing w:line="360" w:lineRule="auto"/>
        <w:ind w:right="0"/>
        <w:jc w:val="center"/>
        <w:textAlignment w:val="baseline"/>
        <w:rPr>
          <w:rFonts w:hint="eastAsia" w:ascii="仿宋" w:hAnsi="仿宋" w:eastAsia="仿宋" w:cs="仿宋"/>
          <w:b/>
          <w:bCs/>
          <w:snapToGrid w:val="0"/>
          <w:color w:val="000000"/>
          <w:spacing w:val="0"/>
          <w:kern w:val="0"/>
          <w:position w:val="0"/>
          <w:sz w:val="24"/>
          <w:szCs w:val="24"/>
          <w:highlight w:val="none"/>
          <w:lang w:val="en-US" w:eastAsia="zh-CN" w:bidi="ar-SA"/>
        </w:rPr>
      </w:pPr>
    </w:p>
    <w:p w14:paraId="7D6748C6">
      <w:pPr>
        <w:keepNext w:val="0"/>
        <w:keepLines w:val="0"/>
        <w:pageBreakBefore w:val="0"/>
        <w:widowControl/>
        <w:shd w:val="clear" w:color="auto" w:fill="auto"/>
        <w:kinsoku w:val="0"/>
        <w:wordWrap/>
        <w:overflowPunct/>
        <w:topLinePunct w:val="0"/>
        <w:autoSpaceDE w:val="0"/>
        <w:autoSpaceDN w:val="0"/>
        <w:bidi w:val="0"/>
        <w:adjustRightInd w:val="0"/>
        <w:snapToGrid w:val="0"/>
        <w:spacing w:line="360" w:lineRule="auto"/>
        <w:ind w:right="0"/>
        <w:jc w:val="center"/>
        <w:textAlignment w:val="baseline"/>
        <w:rPr>
          <w:rFonts w:hint="eastAsia" w:ascii="仿宋" w:hAnsi="仿宋" w:eastAsia="仿宋" w:cs="仿宋"/>
          <w:b/>
          <w:bCs/>
          <w:snapToGrid w:val="0"/>
          <w:color w:val="000000"/>
          <w:spacing w:val="0"/>
          <w:kern w:val="0"/>
          <w:position w:val="0"/>
          <w:sz w:val="24"/>
          <w:szCs w:val="24"/>
          <w:highlight w:val="none"/>
          <w:lang w:val="en-US" w:eastAsia="zh-CN" w:bidi="ar-SA"/>
        </w:rPr>
      </w:pPr>
      <w:r>
        <w:rPr>
          <w:rFonts w:hint="eastAsia" w:ascii="仿宋" w:hAnsi="仿宋" w:eastAsia="仿宋" w:cs="仿宋"/>
          <w:b/>
          <w:bCs/>
          <w:snapToGrid w:val="0"/>
          <w:color w:val="000000"/>
          <w:spacing w:val="0"/>
          <w:kern w:val="0"/>
          <w:position w:val="0"/>
          <w:sz w:val="24"/>
          <w:szCs w:val="24"/>
          <w:highlight w:val="none"/>
          <w:lang w:val="en-US" w:eastAsia="zh-CN" w:bidi="ar-SA"/>
        </w:rPr>
        <w:t>政 府 采 购 合 同</w:t>
      </w:r>
    </w:p>
    <w:p w14:paraId="4D8C02A9">
      <w:pPr>
        <w:keepNext w:val="0"/>
        <w:keepLines w:val="0"/>
        <w:pageBreakBefore w:val="0"/>
        <w:widowControl/>
        <w:shd w:val="clear" w:color="auto" w:fill="auto"/>
        <w:kinsoku w:val="0"/>
        <w:wordWrap/>
        <w:overflowPunct/>
        <w:topLinePunct w:val="0"/>
        <w:autoSpaceDE w:val="0"/>
        <w:autoSpaceDN w:val="0"/>
        <w:bidi w:val="0"/>
        <w:adjustRightInd w:val="0"/>
        <w:snapToGrid w:val="0"/>
        <w:spacing w:line="360" w:lineRule="auto"/>
        <w:ind w:right="0"/>
        <w:jc w:val="center"/>
        <w:textAlignment w:val="baseline"/>
        <w:rPr>
          <w:rFonts w:hint="eastAsia" w:ascii="仿宋" w:hAnsi="仿宋" w:eastAsia="仿宋" w:cs="仿宋"/>
          <w:b/>
          <w:bCs/>
          <w:snapToGrid w:val="0"/>
          <w:color w:val="000000"/>
          <w:spacing w:val="0"/>
          <w:kern w:val="0"/>
          <w:position w:val="0"/>
          <w:sz w:val="24"/>
          <w:szCs w:val="24"/>
          <w:highlight w:val="none"/>
          <w:lang w:val="en-US" w:eastAsia="zh-CN" w:bidi="ar-SA"/>
        </w:rPr>
      </w:pPr>
    </w:p>
    <w:p w14:paraId="1FC4D82F">
      <w:pPr>
        <w:keepNext w:val="0"/>
        <w:keepLines w:val="0"/>
        <w:pageBreakBefore w:val="0"/>
        <w:widowControl/>
        <w:shd w:val="clear" w:color="auto" w:fill="auto"/>
        <w:kinsoku w:val="0"/>
        <w:wordWrap/>
        <w:overflowPunct/>
        <w:topLinePunct w:val="0"/>
        <w:autoSpaceDE w:val="0"/>
        <w:autoSpaceDN w:val="0"/>
        <w:bidi w:val="0"/>
        <w:adjustRightInd w:val="0"/>
        <w:snapToGrid w:val="0"/>
        <w:spacing w:line="360" w:lineRule="auto"/>
        <w:ind w:right="0"/>
        <w:jc w:val="center"/>
        <w:textAlignment w:val="baseline"/>
        <w:rPr>
          <w:rFonts w:hint="eastAsia" w:ascii="仿宋" w:hAnsi="仿宋" w:eastAsia="仿宋" w:cs="仿宋"/>
          <w:b/>
          <w:bCs/>
          <w:snapToGrid w:val="0"/>
          <w:color w:val="000000"/>
          <w:spacing w:val="0"/>
          <w:kern w:val="0"/>
          <w:position w:val="0"/>
          <w:sz w:val="24"/>
          <w:szCs w:val="24"/>
          <w:highlight w:val="none"/>
          <w:lang w:val="en-US" w:eastAsia="zh-CN" w:bidi="ar-SA"/>
        </w:rPr>
      </w:pPr>
    </w:p>
    <w:p w14:paraId="49ACF3F2">
      <w:pPr>
        <w:keepNext w:val="0"/>
        <w:keepLines w:val="0"/>
        <w:pageBreakBefore w:val="0"/>
        <w:widowControl/>
        <w:shd w:val="clear" w:color="auto" w:fill="auto"/>
        <w:kinsoku w:val="0"/>
        <w:wordWrap/>
        <w:overflowPunct/>
        <w:topLinePunct w:val="0"/>
        <w:autoSpaceDE w:val="0"/>
        <w:autoSpaceDN w:val="0"/>
        <w:bidi w:val="0"/>
        <w:adjustRightInd w:val="0"/>
        <w:snapToGrid w:val="0"/>
        <w:spacing w:line="360" w:lineRule="auto"/>
        <w:ind w:right="0"/>
        <w:jc w:val="center"/>
        <w:textAlignment w:val="baseline"/>
        <w:rPr>
          <w:rFonts w:hint="eastAsia" w:ascii="仿宋" w:hAnsi="仿宋" w:eastAsia="仿宋" w:cs="仿宋"/>
          <w:b/>
          <w:bCs/>
          <w:snapToGrid w:val="0"/>
          <w:color w:val="000000"/>
          <w:spacing w:val="0"/>
          <w:kern w:val="0"/>
          <w:position w:val="0"/>
          <w:sz w:val="24"/>
          <w:szCs w:val="24"/>
          <w:highlight w:val="none"/>
          <w:lang w:val="en-US" w:eastAsia="zh-CN" w:bidi="ar-SA"/>
        </w:rPr>
      </w:pPr>
    </w:p>
    <w:p w14:paraId="2EFBAB7B">
      <w:pPr>
        <w:keepNext w:val="0"/>
        <w:keepLines w:val="0"/>
        <w:pageBreakBefore w:val="0"/>
        <w:widowControl/>
        <w:shd w:val="clear" w:color="auto" w:fill="auto"/>
        <w:kinsoku w:val="0"/>
        <w:wordWrap/>
        <w:overflowPunct/>
        <w:topLinePunct w:val="0"/>
        <w:autoSpaceDE w:val="0"/>
        <w:autoSpaceDN w:val="0"/>
        <w:bidi w:val="0"/>
        <w:adjustRightInd w:val="0"/>
        <w:snapToGrid w:val="0"/>
        <w:spacing w:line="360" w:lineRule="auto"/>
        <w:ind w:right="0"/>
        <w:jc w:val="center"/>
        <w:textAlignment w:val="baseline"/>
        <w:rPr>
          <w:rFonts w:hint="eastAsia" w:ascii="仿宋" w:hAnsi="仿宋" w:eastAsia="仿宋" w:cs="仿宋"/>
          <w:b/>
          <w:bCs/>
          <w:snapToGrid w:val="0"/>
          <w:color w:val="000000"/>
          <w:spacing w:val="0"/>
          <w:kern w:val="0"/>
          <w:position w:val="0"/>
          <w:sz w:val="24"/>
          <w:szCs w:val="24"/>
          <w:highlight w:val="none"/>
          <w:lang w:val="en-US" w:eastAsia="zh-CN" w:bidi="ar-SA"/>
        </w:rPr>
      </w:pPr>
      <w:r>
        <w:rPr>
          <w:rFonts w:hint="eastAsia" w:ascii="仿宋" w:hAnsi="仿宋" w:eastAsia="仿宋" w:cs="仿宋"/>
          <w:b/>
          <w:bCs/>
          <w:snapToGrid w:val="0"/>
          <w:color w:val="000000"/>
          <w:spacing w:val="0"/>
          <w:kern w:val="0"/>
          <w:position w:val="0"/>
          <w:sz w:val="24"/>
          <w:szCs w:val="24"/>
          <w:highlight w:val="none"/>
          <w:lang w:val="en-US" w:eastAsia="zh-CN" w:bidi="ar-SA"/>
        </w:rPr>
        <w:t>合同编号：</w:t>
      </w:r>
    </w:p>
    <w:p w14:paraId="706EF252">
      <w:pPr>
        <w:keepNext w:val="0"/>
        <w:keepLines w:val="0"/>
        <w:pageBreakBefore w:val="0"/>
        <w:widowControl/>
        <w:shd w:val="clear" w:color="auto" w:fill="auto"/>
        <w:kinsoku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pacing w:val="0"/>
          <w:position w:val="0"/>
          <w:sz w:val="32"/>
          <w:szCs w:val="32"/>
        </w:rPr>
      </w:pPr>
    </w:p>
    <w:p w14:paraId="31C8E744">
      <w:pPr>
        <w:keepNext w:val="0"/>
        <w:keepLines w:val="0"/>
        <w:pageBreakBefore w:val="0"/>
        <w:widowControl/>
        <w:shd w:val="clear" w:color="auto" w:fill="auto"/>
        <w:kinsoku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pacing w:val="0"/>
          <w:position w:val="0"/>
          <w:sz w:val="32"/>
          <w:szCs w:val="32"/>
        </w:rPr>
      </w:pPr>
    </w:p>
    <w:p w14:paraId="7A301781">
      <w:pPr>
        <w:keepNext w:val="0"/>
        <w:keepLines w:val="0"/>
        <w:pageBreakBefore w:val="0"/>
        <w:widowControl/>
        <w:shd w:val="clear" w:color="auto" w:fill="auto"/>
        <w:kinsoku w:val="0"/>
        <w:overflowPunct/>
        <w:topLinePunct w:val="0"/>
        <w:autoSpaceDE w:val="0"/>
        <w:autoSpaceDN w:val="0"/>
        <w:bidi w:val="0"/>
        <w:adjustRightInd w:val="0"/>
        <w:snapToGrid w:val="0"/>
        <w:spacing w:line="360" w:lineRule="auto"/>
        <w:jc w:val="center"/>
        <w:textAlignment w:val="baseline"/>
        <w:rPr>
          <w:rFonts w:hint="eastAsia" w:ascii="仿宋" w:hAnsi="仿宋" w:eastAsia="仿宋" w:cs="仿宋"/>
          <w:spacing w:val="0"/>
          <w:position w:val="0"/>
          <w:sz w:val="32"/>
          <w:szCs w:val="32"/>
        </w:rPr>
      </w:pPr>
    </w:p>
    <w:p w14:paraId="343A2CBD">
      <w:pPr>
        <w:pStyle w:val="4"/>
        <w:shd w:val="clear" w:color="auto" w:fill="auto"/>
        <w:rPr>
          <w:rFonts w:hint="eastAsia" w:ascii="仿宋" w:hAnsi="仿宋" w:eastAsia="仿宋" w:cs="仿宋"/>
          <w:spacing w:val="0"/>
          <w:position w:val="0"/>
          <w:sz w:val="32"/>
          <w:szCs w:val="32"/>
        </w:rPr>
      </w:pPr>
    </w:p>
    <w:p w14:paraId="2490E583">
      <w:pPr>
        <w:pStyle w:val="4"/>
        <w:shd w:val="clear" w:color="auto" w:fill="auto"/>
        <w:rPr>
          <w:rFonts w:hint="eastAsia" w:ascii="仿宋" w:hAnsi="仿宋" w:eastAsia="仿宋" w:cs="仿宋"/>
          <w:spacing w:val="0"/>
          <w:position w:val="0"/>
          <w:sz w:val="32"/>
          <w:szCs w:val="32"/>
        </w:rPr>
      </w:pPr>
    </w:p>
    <w:p w14:paraId="38447071">
      <w:pPr>
        <w:keepNext w:val="0"/>
        <w:keepLines w:val="0"/>
        <w:pageBreakBefore w:val="0"/>
        <w:widowControl/>
        <w:shd w:val="clear" w:color="auto" w:fill="auto"/>
        <w:kinsoku w:val="0"/>
        <w:wordWrap/>
        <w:overflowPunct/>
        <w:topLinePunct w:val="0"/>
        <w:autoSpaceDE w:val="0"/>
        <w:autoSpaceDN w:val="0"/>
        <w:bidi w:val="0"/>
        <w:adjustRightInd w:val="0"/>
        <w:snapToGrid w:val="0"/>
        <w:spacing w:line="480" w:lineRule="auto"/>
        <w:ind w:left="1789" w:hanging="1188" w:hangingChars="495"/>
        <w:textAlignment w:val="baseline"/>
        <w:rPr>
          <w:rFonts w:hint="eastAsia" w:ascii="仿宋" w:hAnsi="仿宋" w:eastAsia="仿宋" w:cs="仿宋"/>
          <w:b w:val="0"/>
          <w:bCs/>
          <w:spacing w:val="0"/>
          <w:position w:val="0"/>
          <w:sz w:val="24"/>
          <w:szCs w:val="24"/>
          <w:u w:val="single"/>
        </w:rPr>
      </w:pPr>
      <w:r>
        <w:rPr>
          <w:rFonts w:hint="eastAsia" w:ascii="仿宋" w:hAnsi="仿宋" w:eastAsia="仿宋" w:cs="仿宋"/>
          <w:b w:val="0"/>
          <w:bCs/>
          <w:spacing w:val="0"/>
          <w:position w:val="0"/>
          <w:sz w:val="24"/>
          <w:szCs w:val="24"/>
        </w:rPr>
        <w:t>项目名称：</w:t>
      </w:r>
      <w:r>
        <w:rPr>
          <w:rFonts w:hint="eastAsia" w:ascii="仿宋" w:hAnsi="仿宋" w:eastAsia="仿宋" w:cs="仿宋"/>
          <w:b w:val="0"/>
          <w:bCs/>
          <w:spacing w:val="0"/>
          <w:position w:val="0"/>
          <w:sz w:val="24"/>
          <w:szCs w:val="24"/>
          <w:u w:val="single"/>
        </w:rPr>
        <w:t xml:space="preserve">      </w:t>
      </w:r>
      <w:r>
        <w:rPr>
          <w:rFonts w:hint="eastAsia" w:ascii="仿宋" w:hAnsi="仿宋" w:eastAsia="仿宋" w:cs="仿宋"/>
          <w:b w:val="0"/>
          <w:bCs/>
          <w:spacing w:val="0"/>
          <w:position w:val="0"/>
          <w:sz w:val="24"/>
          <w:szCs w:val="24"/>
          <w:u w:val="single"/>
          <w:lang w:val="en-US" w:eastAsia="zh-CN"/>
        </w:rPr>
        <w:t xml:space="preserve">            </w:t>
      </w:r>
      <w:r>
        <w:rPr>
          <w:rFonts w:hint="eastAsia" w:ascii="仿宋" w:hAnsi="仿宋" w:eastAsia="仿宋" w:cs="仿宋"/>
          <w:b w:val="0"/>
          <w:bCs/>
          <w:spacing w:val="0"/>
          <w:position w:val="0"/>
          <w:sz w:val="24"/>
          <w:szCs w:val="24"/>
          <w:u w:val="single"/>
        </w:rPr>
        <w:t xml:space="preserve"> </w:t>
      </w:r>
      <w:r>
        <w:rPr>
          <w:rFonts w:hint="eastAsia" w:ascii="仿宋" w:hAnsi="仿宋" w:eastAsia="仿宋" w:cs="仿宋"/>
          <w:b w:val="0"/>
          <w:bCs/>
          <w:spacing w:val="0"/>
          <w:position w:val="0"/>
          <w:sz w:val="24"/>
          <w:szCs w:val="24"/>
          <w:u w:val="single"/>
          <w:lang w:val="en-US" w:eastAsia="zh-CN"/>
        </w:rPr>
        <w:t xml:space="preserve">             </w:t>
      </w:r>
      <w:r>
        <w:rPr>
          <w:rFonts w:hint="eastAsia" w:ascii="仿宋" w:hAnsi="仿宋" w:eastAsia="仿宋" w:cs="仿宋"/>
          <w:b w:val="0"/>
          <w:bCs/>
          <w:spacing w:val="0"/>
          <w:position w:val="0"/>
          <w:sz w:val="24"/>
          <w:szCs w:val="24"/>
          <w:u w:val="single"/>
        </w:rPr>
        <w:t xml:space="preserve">    </w:t>
      </w:r>
    </w:p>
    <w:p w14:paraId="49092D5F">
      <w:pPr>
        <w:keepNext w:val="0"/>
        <w:keepLines w:val="0"/>
        <w:pageBreakBefore w:val="0"/>
        <w:widowControl/>
        <w:shd w:val="clear" w:color="auto" w:fill="auto"/>
        <w:kinsoku w:val="0"/>
        <w:wordWrap/>
        <w:overflowPunct/>
        <w:topLinePunct w:val="0"/>
        <w:autoSpaceDE w:val="0"/>
        <w:autoSpaceDN w:val="0"/>
        <w:bidi w:val="0"/>
        <w:adjustRightInd w:val="0"/>
        <w:snapToGrid w:val="0"/>
        <w:spacing w:line="480" w:lineRule="auto"/>
        <w:ind w:left="1789" w:hanging="1188" w:hangingChars="495"/>
        <w:textAlignment w:val="baseline"/>
        <w:rPr>
          <w:rFonts w:hint="eastAsia" w:ascii="仿宋" w:hAnsi="仿宋" w:eastAsia="仿宋" w:cs="仿宋"/>
          <w:b w:val="0"/>
          <w:bCs/>
          <w:spacing w:val="0"/>
          <w:position w:val="0"/>
          <w:sz w:val="24"/>
          <w:szCs w:val="24"/>
          <w:u w:val="single"/>
        </w:rPr>
      </w:pPr>
      <w:r>
        <w:rPr>
          <w:rFonts w:hint="eastAsia" w:ascii="仿宋" w:hAnsi="仿宋" w:eastAsia="仿宋" w:cs="仿宋"/>
          <w:b w:val="0"/>
          <w:bCs/>
          <w:spacing w:val="0"/>
          <w:position w:val="0"/>
          <w:sz w:val="24"/>
          <w:szCs w:val="24"/>
        </w:rPr>
        <w:t>委托方（</w:t>
      </w:r>
      <w:r>
        <w:rPr>
          <w:rFonts w:hint="eastAsia" w:ascii="仿宋" w:hAnsi="仿宋" w:eastAsia="仿宋" w:cs="仿宋"/>
          <w:b w:val="0"/>
          <w:bCs/>
          <w:spacing w:val="0"/>
          <w:position w:val="0"/>
          <w:sz w:val="24"/>
          <w:szCs w:val="24"/>
          <w:lang w:eastAsia="zh-CN"/>
        </w:rPr>
        <w:t>采购人</w:t>
      </w:r>
      <w:r>
        <w:rPr>
          <w:rFonts w:hint="eastAsia" w:ascii="仿宋" w:hAnsi="仿宋" w:eastAsia="仿宋" w:cs="仿宋"/>
          <w:b w:val="0"/>
          <w:bCs/>
          <w:spacing w:val="0"/>
          <w:position w:val="0"/>
          <w:sz w:val="24"/>
          <w:szCs w:val="24"/>
        </w:rPr>
        <w:t>）：</w:t>
      </w:r>
      <w:r>
        <w:rPr>
          <w:rFonts w:hint="eastAsia" w:ascii="仿宋" w:hAnsi="仿宋" w:eastAsia="仿宋" w:cs="仿宋"/>
          <w:b w:val="0"/>
          <w:bCs/>
          <w:spacing w:val="0"/>
          <w:position w:val="0"/>
          <w:sz w:val="24"/>
          <w:szCs w:val="24"/>
          <w:u w:val="single"/>
        </w:rPr>
        <w:t xml:space="preserve">         </w:t>
      </w:r>
      <w:r>
        <w:rPr>
          <w:rFonts w:hint="eastAsia" w:ascii="仿宋" w:hAnsi="仿宋" w:eastAsia="仿宋" w:cs="仿宋"/>
          <w:b w:val="0"/>
          <w:bCs/>
          <w:spacing w:val="0"/>
          <w:position w:val="0"/>
          <w:sz w:val="24"/>
          <w:szCs w:val="24"/>
          <w:u w:val="single"/>
          <w:lang w:val="en-US" w:eastAsia="zh-CN"/>
        </w:rPr>
        <w:t xml:space="preserve">                </w:t>
      </w:r>
      <w:r>
        <w:rPr>
          <w:rFonts w:hint="eastAsia" w:ascii="仿宋" w:hAnsi="仿宋" w:eastAsia="仿宋" w:cs="仿宋"/>
          <w:b w:val="0"/>
          <w:bCs/>
          <w:spacing w:val="0"/>
          <w:position w:val="0"/>
          <w:sz w:val="24"/>
          <w:szCs w:val="24"/>
          <w:u w:val="single"/>
        </w:rPr>
        <w:t xml:space="preserve">   </w:t>
      </w:r>
    </w:p>
    <w:p w14:paraId="06C18000">
      <w:pPr>
        <w:keepNext w:val="0"/>
        <w:keepLines w:val="0"/>
        <w:pageBreakBefore w:val="0"/>
        <w:widowControl/>
        <w:shd w:val="clear" w:color="auto" w:fill="auto"/>
        <w:kinsoku w:val="0"/>
        <w:wordWrap/>
        <w:overflowPunct/>
        <w:topLinePunct w:val="0"/>
        <w:autoSpaceDE w:val="0"/>
        <w:autoSpaceDN w:val="0"/>
        <w:bidi w:val="0"/>
        <w:adjustRightInd w:val="0"/>
        <w:snapToGrid w:val="0"/>
        <w:spacing w:line="480" w:lineRule="auto"/>
        <w:textAlignment w:val="baseline"/>
        <w:rPr>
          <w:rFonts w:hint="eastAsia" w:ascii="仿宋" w:hAnsi="仿宋" w:eastAsia="仿宋" w:cs="仿宋"/>
          <w:b w:val="0"/>
          <w:bCs/>
          <w:spacing w:val="0"/>
          <w:position w:val="0"/>
          <w:sz w:val="24"/>
          <w:szCs w:val="24"/>
          <w:u w:val="single"/>
        </w:rPr>
      </w:pPr>
      <w:r>
        <w:rPr>
          <w:rFonts w:hint="eastAsia" w:ascii="仿宋" w:hAnsi="仿宋" w:eastAsia="仿宋" w:cs="仿宋"/>
          <w:b w:val="0"/>
          <w:bCs/>
          <w:spacing w:val="0"/>
          <w:position w:val="0"/>
          <w:sz w:val="24"/>
          <w:szCs w:val="24"/>
        </w:rPr>
        <w:t>受托方（</w:t>
      </w:r>
      <w:r>
        <w:rPr>
          <w:rFonts w:hint="eastAsia" w:ascii="仿宋" w:hAnsi="仿宋" w:eastAsia="仿宋" w:cs="仿宋"/>
          <w:b w:val="0"/>
          <w:bCs/>
          <w:spacing w:val="0"/>
          <w:position w:val="0"/>
          <w:sz w:val="24"/>
          <w:szCs w:val="24"/>
          <w:lang w:eastAsia="zh-CN"/>
        </w:rPr>
        <w:t>成交供应商</w:t>
      </w:r>
      <w:r>
        <w:rPr>
          <w:rFonts w:hint="eastAsia" w:ascii="仿宋" w:hAnsi="仿宋" w:eastAsia="仿宋" w:cs="仿宋"/>
          <w:b w:val="0"/>
          <w:bCs/>
          <w:spacing w:val="0"/>
          <w:position w:val="0"/>
          <w:sz w:val="24"/>
          <w:szCs w:val="24"/>
        </w:rPr>
        <w:t>）：</w:t>
      </w:r>
      <w:r>
        <w:rPr>
          <w:rFonts w:hint="eastAsia" w:ascii="仿宋" w:hAnsi="仿宋" w:eastAsia="仿宋" w:cs="仿宋"/>
          <w:b w:val="0"/>
          <w:bCs/>
          <w:spacing w:val="0"/>
          <w:position w:val="0"/>
          <w:sz w:val="24"/>
          <w:szCs w:val="24"/>
          <w:u w:val="single"/>
        </w:rPr>
        <w:t xml:space="preserve">                        </w:t>
      </w:r>
    </w:p>
    <w:p w14:paraId="1103EAAA">
      <w:pPr>
        <w:keepNext w:val="0"/>
        <w:keepLines w:val="0"/>
        <w:pageBreakBefore w:val="0"/>
        <w:widowControl/>
        <w:shd w:val="clear" w:color="auto" w:fill="auto"/>
        <w:kinsoku w:val="0"/>
        <w:wordWrap/>
        <w:overflowPunct/>
        <w:topLinePunct w:val="0"/>
        <w:autoSpaceDE w:val="0"/>
        <w:autoSpaceDN w:val="0"/>
        <w:bidi w:val="0"/>
        <w:adjustRightInd w:val="0"/>
        <w:snapToGrid w:val="0"/>
        <w:spacing w:line="480" w:lineRule="auto"/>
        <w:jc w:val="left"/>
        <w:textAlignment w:val="baseline"/>
        <w:rPr>
          <w:rFonts w:hint="eastAsia" w:ascii="仿宋" w:hAnsi="仿宋" w:eastAsia="仿宋" w:cs="仿宋"/>
          <w:b w:val="0"/>
          <w:bCs/>
          <w:spacing w:val="0"/>
          <w:position w:val="0"/>
          <w:sz w:val="24"/>
          <w:szCs w:val="24"/>
          <w:u w:val="single"/>
        </w:rPr>
      </w:pPr>
      <w:r>
        <w:rPr>
          <w:rFonts w:hint="eastAsia" w:ascii="仿宋" w:hAnsi="仿宋" w:eastAsia="仿宋" w:cs="仿宋"/>
          <w:b w:val="0"/>
          <w:bCs/>
          <w:spacing w:val="0"/>
          <w:position w:val="0"/>
          <w:sz w:val="24"/>
          <w:szCs w:val="24"/>
        </w:rPr>
        <w:t>签订地点：</w:t>
      </w:r>
      <w:r>
        <w:rPr>
          <w:rFonts w:hint="eastAsia" w:ascii="仿宋" w:hAnsi="仿宋" w:eastAsia="仿宋" w:cs="仿宋"/>
          <w:b w:val="0"/>
          <w:bCs/>
          <w:spacing w:val="0"/>
          <w:position w:val="0"/>
          <w:sz w:val="24"/>
          <w:szCs w:val="24"/>
          <w:u w:val="single"/>
        </w:rPr>
        <w:t xml:space="preserve">                             </w:t>
      </w:r>
      <w:r>
        <w:rPr>
          <w:rFonts w:hint="eastAsia" w:ascii="仿宋" w:hAnsi="仿宋" w:eastAsia="仿宋" w:cs="仿宋"/>
          <w:b w:val="0"/>
          <w:bCs/>
          <w:spacing w:val="0"/>
          <w:position w:val="0"/>
          <w:sz w:val="24"/>
          <w:szCs w:val="24"/>
          <w:u w:val="single"/>
          <w:lang w:val="en-US" w:eastAsia="zh-CN"/>
        </w:rPr>
        <w:t xml:space="preserve">      </w:t>
      </w:r>
      <w:r>
        <w:rPr>
          <w:rFonts w:hint="eastAsia" w:ascii="仿宋" w:hAnsi="仿宋" w:eastAsia="仿宋" w:cs="仿宋"/>
          <w:b w:val="0"/>
          <w:bCs/>
          <w:spacing w:val="0"/>
          <w:position w:val="0"/>
          <w:sz w:val="24"/>
          <w:szCs w:val="24"/>
          <w:u w:val="single"/>
        </w:rPr>
        <w:t xml:space="preserve"> </w:t>
      </w:r>
    </w:p>
    <w:p w14:paraId="378BC3F4">
      <w:pPr>
        <w:keepNext w:val="0"/>
        <w:keepLines w:val="0"/>
        <w:pageBreakBefore w:val="0"/>
        <w:widowControl w:val="0"/>
        <w:kinsoku/>
        <w:wordWrap/>
        <w:overflowPunct/>
        <w:topLinePunct w:val="0"/>
        <w:autoSpaceDE w:val="0"/>
        <w:autoSpaceDN w:val="0"/>
        <w:bidi w:val="0"/>
        <w:adjustRightInd w:val="0"/>
        <w:spacing w:line="360" w:lineRule="auto"/>
        <w:ind w:firstLine="480" w:firstLineChars="200"/>
        <w:outlineLvl w:val="9"/>
        <w:rPr>
          <w:rFonts w:hint="eastAsia" w:ascii="仿宋" w:hAnsi="仿宋" w:eastAsia="仿宋" w:cs="仿宋"/>
          <w:b/>
          <w:color w:val="auto"/>
          <w:sz w:val="24"/>
          <w:szCs w:val="24"/>
          <w:highlight w:val="none"/>
        </w:rPr>
      </w:pPr>
      <w:r>
        <w:rPr>
          <w:rFonts w:hint="eastAsia" w:ascii="仿宋" w:hAnsi="仿宋" w:eastAsia="仿宋" w:cs="仿宋"/>
          <w:bCs/>
          <w:color w:val="auto"/>
          <w:sz w:val="24"/>
          <w:szCs w:val="24"/>
          <w:highlight w:val="none"/>
        </w:rPr>
        <w:br w:type="page"/>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zh-CN"/>
        </w:rPr>
        <w:t>此合同草案条款，</w:t>
      </w:r>
      <w:r>
        <w:rPr>
          <w:rFonts w:hint="eastAsia" w:ascii="仿宋" w:hAnsi="仿宋" w:eastAsia="仿宋" w:cs="仿宋"/>
          <w:b/>
          <w:color w:val="auto"/>
          <w:sz w:val="24"/>
          <w:szCs w:val="24"/>
          <w:highlight w:val="none"/>
        </w:rPr>
        <w:t>采购人和成交供应商</w:t>
      </w:r>
      <w:r>
        <w:rPr>
          <w:rFonts w:hint="eastAsia" w:ascii="仿宋" w:hAnsi="仿宋" w:eastAsia="仿宋" w:cs="仿宋"/>
          <w:b/>
          <w:color w:val="auto"/>
          <w:sz w:val="24"/>
          <w:szCs w:val="24"/>
          <w:highlight w:val="none"/>
          <w:lang w:val="zh-CN"/>
        </w:rPr>
        <w:t>所签订的合同</w:t>
      </w:r>
      <w:r>
        <w:rPr>
          <w:rFonts w:hint="eastAsia" w:ascii="仿宋" w:hAnsi="仿宋" w:eastAsia="仿宋" w:cs="仿宋"/>
          <w:b/>
          <w:color w:val="auto"/>
          <w:sz w:val="24"/>
          <w:szCs w:val="24"/>
          <w:highlight w:val="none"/>
        </w:rPr>
        <w:t>不得对磋商</w:t>
      </w:r>
      <w:r>
        <w:rPr>
          <w:rFonts w:hint="eastAsia" w:ascii="仿宋" w:hAnsi="仿宋" w:eastAsia="仿宋" w:cs="仿宋"/>
          <w:b/>
          <w:color w:val="auto"/>
          <w:sz w:val="24"/>
          <w:szCs w:val="24"/>
          <w:highlight w:val="none"/>
          <w:lang w:val="zh-CN"/>
        </w:rPr>
        <w:t>文件确定的事项和</w:t>
      </w:r>
      <w:r>
        <w:rPr>
          <w:rFonts w:hint="eastAsia" w:ascii="仿宋" w:hAnsi="仿宋" w:eastAsia="仿宋" w:cs="仿宋"/>
          <w:b/>
          <w:color w:val="auto"/>
          <w:sz w:val="24"/>
          <w:szCs w:val="24"/>
          <w:highlight w:val="none"/>
        </w:rPr>
        <w:t>成交供应商</w:t>
      </w:r>
      <w:r>
        <w:rPr>
          <w:rFonts w:hint="eastAsia" w:ascii="仿宋" w:hAnsi="仿宋" w:eastAsia="仿宋" w:cs="仿宋"/>
          <w:b/>
          <w:color w:val="auto"/>
          <w:sz w:val="24"/>
          <w:szCs w:val="24"/>
          <w:highlight w:val="none"/>
          <w:lang w:val="zh-CN"/>
        </w:rPr>
        <w:t>的</w:t>
      </w:r>
      <w:r>
        <w:rPr>
          <w:rFonts w:hint="eastAsia" w:ascii="仿宋" w:hAnsi="仿宋" w:eastAsia="仿宋" w:cs="仿宋"/>
          <w:b/>
          <w:color w:val="auto"/>
          <w:sz w:val="24"/>
          <w:szCs w:val="24"/>
          <w:highlight w:val="none"/>
        </w:rPr>
        <w:t>磋商响应</w:t>
      </w:r>
      <w:r>
        <w:rPr>
          <w:rFonts w:hint="eastAsia" w:ascii="仿宋" w:hAnsi="仿宋" w:eastAsia="仿宋" w:cs="仿宋"/>
          <w:b/>
          <w:color w:val="auto"/>
          <w:sz w:val="24"/>
          <w:szCs w:val="24"/>
          <w:highlight w:val="none"/>
          <w:lang w:val="zh-CN"/>
        </w:rPr>
        <w:t>文件做实质性修改，最终签订的合同以采购人确定的合同内容为准。</w:t>
      </w:r>
      <w:r>
        <w:rPr>
          <w:rFonts w:hint="eastAsia" w:ascii="仿宋" w:hAnsi="仿宋" w:eastAsia="仿宋" w:cs="仿宋"/>
          <w:b/>
          <w:color w:val="auto"/>
          <w:sz w:val="24"/>
          <w:szCs w:val="24"/>
          <w:highlight w:val="none"/>
        </w:rPr>
        <w:t>）</w:t>
      </w:r>
    </w:p>
    <w:p w14:paraId="21C4554D">
      <w:pPr>
        <w:keepNext w:val="0"/>
        <w:keepLines w:val="0"/>
        <w:pageBreakBefore w:val="0"/>
        <w:widowControl w:val="0"/>
        <w:kinsoku/>
        <w:wordWrap/>
        <w:overflowPunct/>
        <w:topLinePunct w:val="0"/>
        <w:autoSpaceDE w:val="0"/>
        <w:autoSpaceDN w:val="0"/>
        <w:bidi w:val="0"/>
        <w:adjustRightInd w:val="0"/>
        <w:spacing w:line="360" w:lineRule="auto"/>
        <w:ind w:firstLine="482" w:firstLineChars="200"/>
        <w:outlineLvl w:val="9"/>
        <w:rPr>
          <w:rFonts w:hint="eastAsia" w:ascii="仿宋" w:hAnsi="仿宋" w:eastAsia="仿宋" w:cs="仿宋"/>
          <w:b/>
          <w:color w:val="auto"/>
          <w:sz w:val="24"/>
          <w:szCs w:val="24"/>
          <w:highlight w:val="none"/>
        </w:rPr>
      </w:pPr>
    </w:p>
    <w:p w14:paraId="72275C2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rPr>
        <w:t>甲方（采购人）：</w:t>
      </w:r>
      <w:r>
        <w:rPr>
          <w:rFonts w:hint="eastAsia" w:ascii="仿宋" w:hAnsi="仿宋" w:eastAsia="仿宋" w:cs="仿宋"/>
          <w:bCs/>
          <w:color w:val="auto"/>
          <w:sz w:val="24"/>
          <w:szCs w:val="24"/>
          <w:highlight w:val="none"/>
          <w:u w:val="single"/>
          <w:lang w:eastAsia="zh-CN"/>
        </w:rPr>
        <w:t>西安市临潼区北田街道办事处</w:t>
      </w:r>
      <w:r>
        <w:rPr>
          <w:rFonts w:hint="eastAsia" w:ascii="仿宋" w:hAnsi="仿宋" w:eastAsia="仿宋" w:cs="仿宋"/>
          <w:bCs/>
          <w:color w:val="auto"/>
          <w:sz w:val="24"/>
          <w:szCs w:val="24"/>
          <w:highlight w:val="none"/>
          <w:u w:val="single"/>
          <w:lang w:val="en-US" w:eastAsia="zh-CN"/>
        </w:rPr>
        <w:t xml:space="preserve">      </w:t>
      </w:r>
    </w:p>
    <w:p w14:paraId="73E27418">
      <w:pPr>
        <w:keepNext w:val="0"/>
        <w:keepLines w:val="0"/>
        <w:pageBreakBefore w:val="0"/>
        <w:widowControl w:val="0"/>
        <w:kinsoku/>
        <w:wordWrap/>
        <w:overflowPunct/>
        <w:topLinePunct w:val="0"/>
        <w:autoSpaceDE w:val="0"/>
        <w:autoSpaceDN w:val="0"/>
        <w:bidi w:val="0"/>
        <w:adjustRightInd w:val="0"/>
        <w:spacing w:line="360" w:lineRule="auto"/>
        <w:ind w:firstLine="480" w:firstLineChars="200"/>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乙方（</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 xml:space="preserve"> </w:t>
      </w:r>
    </w:p>
    <w:p w14:paraId="7514FC60">
      <w:pPr>
        <w:keepNext w:val="0"/>
        <w:keepLines w:val="0"/>
        <w:pageBreakBefore w:val="0"/>
        <w:widowControl w:val="0"/>
        <w:kinsoku/>
        <w:wordWrap/>
        <w:overflowPunct/>
        <w:topLinePunct w:val="0"/>
        <w:bidi w:val="0"/>
        <w:snapToGrid w:val="0"/>
        <w:spacing w:line="360" w:lineRule="auto"/>
        <w:ind w:firstLine="480" w:firstLineChars="200"/>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u w:val="single"/>
          <w:lang w:eastAsia="zh-CN"/>
        </w:rPr>
        <w:t>辖区排水坑防护栏安装项目（</w:t>
      </w:r>
      <w:r>
        <w:rPr>
          <w:rFonts w:hint="eastAsia" w:ascii="仿宋" w:hAnsi="仿宋" w:eastAsia="仿宋" w:cs="仿宋"/>
          <w:bCs/>
          <w:color w:val="auto"/>
          <w:sz w:val="24"/>
          <w:szCs w:val="24"/>
          <w:highlight w:val="none"/>
          <w:u w:val="single"/>
          <w:lang w:val="en-US" w:eastAsia="zh-CN"/>
        </w:rPr>
        <w:t>二次</w:t>
      </w:r>
      <w:r>
        <w:rPr>
          <w:rFonts w:hint="eastAsia" w:ascii="仿宋" w:hAnsi="仿宋" w:eastAsia="仿宋" w:cs="仿宋"/>
          <w:bCs/>
          <w:color w:val="auto"/>
          <w:sz w:val="24"/>
          <w:szCs w:val="24"/>
          <w:highlight w:val="none"/>
          <w:u w:val="single"/>
          <w:lang w:eastAsia="zh-CN"/>
        </w:rPr>
        <w:t>）</w:t>
      </w:r>
      <w:r>
        <w:rPr>
          <w:rFonts w:hint="eastAsia" w:ascii="仿宋" w:hAnsi="仿宋" w:eastAsia="仿宋" w:cs="仿宋"/>
          <w:bCs/>
          <w:color w:val="auto"/>
          <w:sz w:val="24"/>
          <w:szCs w:val="24"/>
          <w:highlight w:val="none"/>
        </w:rPr>
        <w:t>在华睿诚项目管理有限公司组织</w:t>
      </w:r>
      <w:r>
        <w:rPr>
          <w:rFonts w:hint="eastAsia" w:ascii="仿宋" w:hAnsi="仿宋" w:eastAsia="仿宋" w:cs="仿宋"/>
          <w:bCs/>
          <w:color w:val="auto"/>
          <w:sz w:val="24"/>
          <w:szCs w:val="24"/>
          <w:highlight w:val="none"/>
          <w:lang w:eastAsia="zh-CN"/>
        </w:rPr>
        <w:t>竞争性磋商</w:t>
      </w:r>
      <w:r>
        <w:rPr>
          <w:rFonts w:hint="eastAsia" w:ascii="仿宋" w:hAnsi="仿宋" w:eastAsia="仿宋" w:cs="仿宋"/>
          <w:bCs/>
          <w:color w:val="auto"/>
          <w:sz w:val="24"/>
          <w:szCs w:val="24"/>
          <w:highlight w:val="none"/>
        </w:rPr>
        <w:t>，(以下简称“甲方”)确定（以下简称“乙方”）为的</w:t>
      </w:r>
      <w:r>
        <w:rPr>
          <w:rFonts w:hint="eastAsia" w:ascii="仿宋" w:hAnsi="仿宋" w:eastAsia="仿宋" w:cs="仿宋"/>
          <w:bCs/>
          <w:color w:val="auto"/>
          <w:sz w:val="24"/>
          <w:szCs w:val="24"/>
          <w:highlight w:val="none"/>
          <w:lang w:eastAsia="zh-CN"/>
        </w:rPr>
        <w:t>供应商</w:t>
      </w:r>
      <w:r>
        <w:rPr>
          <w:rFonts w:hint="eastAsia" w:ascii="仿宋" w:hAnsi="仿宋" w:eastAsia="仿宋" w:cs="仿宋"/>
          <w:bCs/>
          <w:color w:val="auto"/>
          <w:sz w:val="24"/>
          <w:szCs w:val="24"/>
          <w:highlight w:val="none"/>
        </w:rPr>
        <w:t>。依据《</w:t>
      </w:r>
      <w:r>
        <w:rPr>
          <w:rFonts w:hint="eastAsia" w:ascii="仿宋" w:hAnsi="仿宋" w:eastAsia="仿宋" w:cs="仿宋"/>
          <w:bCs/>
          <w:color w:val="auto"/>
          <w:sz w:val="24"/>
          <w:szCs w:val="24"/>
          <w:highlight w:val="none"/>
          <w:lang w:eastAsia="zh-CN"/>
        </w:rPr>
        <w:t>中华人民共和国民法典</w:t>
      </w:r>
      <w:r>
        <w:rPr>
          <w:rFonts w:hint="eastAsia" w:ascii="仿宋" w:hAnsi="仿宋" w:eastAsia="仿宋" w:cs="仿宋"/>
          <w:bCs/>
          <w:color w:val="auto"/>
          <w:sz w:val="24"/>
          <w:szCs w:val="24"/>
          <w:highlight w:val="none"/>
        </w:rPr>
        <w:t>》和《中华人民共和国政府采购法》，经双方协商按下述条款和</w:t>
      </w:r>
      <w:bookmarkStart w:id="0" w:name="_GoBack"/>
      <w:bookmarkEnd w:id="0"/>
      <w:r>
        <w:rPr>
          <w:rFonts w:hint="eastAsia" w:ascii="仿宋" w:hAnsi="仿宋" w:eastAsia="仿宋" w:cs="仿宋"/>
          <w:bCs/>
          <w:color w:val="auto"/>
          <w:sz w:val="24"/>
          <w:szCs w:val="24"/>
          <w:highlight w:val="none"/>
        </w:rPr>
        <w:t>条件签署本合同。</w:t>
      </w:r>
    </w:p>
    <w:p w14:paraId="448CD10B">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outlineLvl w:val="9"/>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一、合同价款</w:t>
      </w:r>
    </w:p>
    <w:p w14:paraId="0EFD5332">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（一）合同</w:t>
      </w:r>
      <w:r>
        <w:rPr>
          <w:rFonts w:hint="eastAsia" w:ascii="仿宋" w:hAnsi="仿宋" w:eastAsia="仿宋" w:cs="仿宋"/>
          <w:bCs/>
          <w:color w:val="auto"/>
          <w:sz w:val="24"/>
          <w:szCs w:val="24"/>
          <w:highlight w:val="none"/>
          <w:lang w:val="en-US" w:eastAsia="zh-CN"/>
        </w:rPr>
        <w:t>暂定总价</w:t>
      </w:r>
      <w:r>
        <w:rPr>
          <w:rFonts w:hint="eastAsia" w:ascii="仿宋" w:hAnsi="仿宋" w:eastAsia="仿宋" w:cs="仿宋"/>
          <w:bCs/>
          <w:color w:val="auto"/>
          <w:sz w:val="24"/>
          <w:szCs w:val="24"/>
          <w:highlight w:val="none"/>
        </w:rPr>
        <w:t>：</w:t>
      </w:r>
      <w:r>
        <w:rPr>
          <w:rFonts w:hint="eastAsia" w:ascii="仿宋" w:hAnsi="仿宋" w:eastAsia="仿宋" w:cs="仿宋"/>
          <w:bCs/>
          <w:color w:val="auto"/>
          <w:sz w:val="24"/>
          <w:szCs w:val="24"/>
          <w:highlight w:val="none"/>
          <w:lang w:eastAsia="zh-CN"/>
        </w:rPr>
        <w:t>大写：</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元）</w:t>
      </w:r>
      <w:r>
        <w:rPr>
          <w:rFonts w:hint="eastAsia" w:ascii="仿宋" w:hAnsi="仿宋" w:eastAsia="仿宋" w:cs="仿宋"/>
          <w:bCs/>
          <w:color w:val="auto"/>
          <w:sz w:val="24"/>
          <w:szCs w:val="24"/>
          <w:highlight w:val="none"/>
        </w:rPr>
        <w:t>。</w:t>
      </w:r>
    </w:p>
    <w:p w14:paraId="75C9376F">
      <w:pPr>
        <w:pStyle w:val="2"/>
        <w:keepNext w:val="0"/>
        <w:keepLines w:val="0"/>
        <w:pageBreakBefore w:val="0"/>
        <w:widowControl w:val="0"/>
        <w:kinsoku/>
        <w:wordWrap/>
        <w:overflowPunct/>
        <w:topLinePunct w:val="0"/>
        <w:bidi w:val="0"/>
        <w:snapToGrid/>
        <w:spacing w:line="360" w:lineRule="auto"/>
        <w:textAlignment w:val="auto"/>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 xml:space="preserve">          全费用综合单价：</w:t>
      </w:r>
      <w:r>
        <w:rPr>
          <w:rFonts w:hint="eastAsia" w:ascii="仿宋" w:hAnsi="仿宋" w:eastAsia="仿宋" w:cs="仿宋"/>
          <w:bCs/>
          <w:color w:val="auto"/>
          <w:sz w:val="24"/>
          <w:szCs w:val="24"/>
          <w:highlight w:val="none"/>
          <w:lang w:eastAsia="zh-CN"/>
        </w:rPr>
        <w:t>：</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lang w:val="en-US" w:eastAsia="zh-CN"/>
        </w:rPr>
        <w:t>（元/米）</w:t>
      </w:r>
    </w:p>
    <w:p w14:paraId="56E1A8BE">
      <w:pPr>
        <w:pStyle w:val="2"/>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（二）合同总价包括：</w:t>
      </w:r>
      <w:r>
        <w:rPr>
          <w:rFonts w:hint="eastAsia" w:ascii="仿宋" w:hAnsi="仿宋" w:eastAsia="仿宋" w:cs="仿宋"/>
          <w:bCs/>
          <w:color w:val="auto"/>
          <w:sz w:val="24"/>
          <w:szCs w:val="24"/>
          <w:highlight w:val="none"/>
          <w:lang w:eastAsia="zh-CN"/>
        </w:rPr>
        <w:t>工程量清单的全部内容</w:t>
      </w:r>
      <w:r>
        <w:rPr>
          <w:rFonts w:hint="eastAsia" w:ascii="仿宋" w:hAnsi="仿宋" w:eastAsia="仿宋" w:cs="仿宋"/>
          <w:bCs/>
          <w:color w:val="auto"/>
          <w:sz w:val="24"/>
          <w:szCs w:val="24"/>
          <w:highlight w:val="none"/>
        </w:rPr>
        <w:t>，不受市场价变化的影响。合同价格为含税价</w:t>
      </w:r>
      <w:r>
        <w:rPr>
          <w:rFonts w:hint="eastAsia" w:ascii="仿宋" w:hAnsi="仿宋" w:eastAsia="仿宋" w:cs="仿宋"/>
          <w:bCs/>
          <w:color w:val="auto"/>
          <w:sz w:val="24"/>
          <w:szCs w:val="24"/>
          <w:highlight w:val="none"/>
          <w:lang w:eastAsia="zh-CN"/>
        </w:rPr>
        <w:t>。</w:t>
      </w:r>
    </w:p>
    <w:p w14:paraId="34BEA058">
      <w:pPr>
        <w:keepNext w:val="0"/>
        <w:keepLines w:val="0"/>
        <w:pageBreakBefore w:val="0"/>
        <w:widowControl w:val="0"/>
        <w:kinsoku/>
        <w:wordWrap/>
        <w:overflowPunct/>
        <w:topLinePunct w:val="0"/>
        <w:autoSpaceDE w:val="0"/>
        <w:autoSpaceDN w:val="0"/>
        <w:bidi w:val="0"/>
        <w:adjustRightInd w:val="0"/>
        <w:snapToGrid/>
        <w:spacing w:line="360" w:lineRule="auto"/>
        <w:ind w:firstLine="482" w:firstLineChars="200"/>
        <w:textAlignment w:val="auto"/>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二、</w:t>
      </w:r>
      <w:r>
        <w:rPr>
          <w:rFonts w:hint="eastAsia" w:ascii="仿宋" w:hAnsi="仿宋" w:eastAsia="仿宋" w:cs="仿宋"/>
          <w:b/>
          <w:color w:val="auto"/>
          <w:sz w:val="24"/>
          <w:szCs w:val="24"/>
          <w:highlight w:val="none"/>
          <w:lang w:val="en-US" w:eastAsia="zh-CN"/>
        </w:rPr>
        <w:t>付款</w:t>
      </w:r>
      <w:r>
        <w:rPr>
          <w:rFonts w:hint="eastAsia" w:ascii="仿宋" w:hAnsi="仿宋" w:eastAsia="仿宋" w:cs="仿宋"/>
          <w:b/>
          <w:color w:val="auto"/>
          <w:sz w:val="24"/>
          <w:szCs w:val="24"/>
          <w:highlight w:val="none"/>
        </w:rPr>
        <w:t>方式</w:t>
      </w:r>
    </w:p>
    <w:p w14:paraId="2BCAE6B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textAlignment w:val="auto"/>
        <w:outlineLvl w:val="9"/>
        <w:rPr>
          <w:rFonts w:hint="eastAsia" w:ascii="仿宋" w:hAnsi="仿宋" w:eastAsia="仿宋" w:cs="仿宋"/>
          <w:b w:val="0"/>
          <w:bCs/>
          <w:color w:val="auto"/>
          <w:sz w:val="24"/>
          <w:szCs w:val="24"/>
          <w:highlight w:val="yellow"/>
          <w:lang w:val="en-US" w:eastAsia="zh-CN"/>
        </w:rPr>
      </w:pPr>
      <w:r>
        <w:rPr>
          <w:rFonts w:hint="eastAsia" w:ascii="仿宋" w:hAnsi="仿宋" w:eastAsia="仿宋" w:cs="仿宋"/>
          <w:b w:val="0"/>
          <w:bCs/>
          <w:color w:val="auto"/>
          <w:sz w:val="24"/>
          <w:szCs w:val="24"/>
          <w:highlight w:val="none"/>
          <w:lang w:val="en-US" w:eastAsia="zh-CN"/>
        </w:rPr>
        <w:t>合同签订后，采购标的完成施工并验收合格付至合同款结算价【合同结算价=</w:t>
      </w:r>
      <w:r>
        <w:rPr>
          <w:rFonts w:hint="eastAsia" w:ascii="仿宋" w:hAnsi="仿宋" w:eastAsia="仿宋" w:cs="仿宋"/>
          <w:b/>
          <w:bCs/>
          <w:color w:val="auto"/>
          <w:kern w:val="2"/>
          <w:sz w:val="24"/>
          <w:szCs w:val="24"/>
          <w:highlight w:val="none"/>
          <w:lang w:val="en-US" w:eastAsia="zh-CN" w:bidi="ar-SA"/>
        </w:rPr>
        <w:t>(成交）全费用综合单价*实际施工量</w:t>
      </w:r>
      <w:r>
        <w:rPr>
          <w:rFonts w:hint="eastAsia" w:ascii="仿宋" w:hAnsi="仿宋" w:eastAsia="仿宋" w:cs="仿宋"/>
          <w:b w:val="0"/>
          <w:bCs/>
          <w:color w:val="auto"/>
          <w:sz w:val="24"/>
          <w:szCs w:val="24"/>
          <w:highlight w:val="none"/>
          <w:lang w:val="en-US" w:eastAsia="zh-CN"/>
        </w:rPr>
        <w:t>】的97%，预留3%的质保金，质保金待缺陷责任期满后退还。</w:t>
      </w:r>
    </w:p>
    <w:p w14:paraId="69FEF7D4">
      <w:pPr>
        <w:keepNext w:val="0"/>
        <w:keepLines w:val="0"/>
        <w:pageBreakBefore w:val="0"/>
        <w:widowControl w:val="0"/>
        <w:kinsoku/>
        <w:wordWrap/>
        <w:overflowPunct/>
        <w:topLinePunct w:val="0"/>
        <w:autoSpaceDE w:val="0"/>
        <w:autoSpaceDN w:val="0"/>
        <w:bidi w:val="0"/>
        <w:adjustRightInd w:val="0"/>
        <w:spacing w:line="360" w:lineRule="auto"/>
        <w:ind w:firstLine="482" w:firstLineChars="200"/>
        <w:outlineLvl w:val="9"/>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三、实施地点及工期：</w:t>
      </w:r>
    </w:p>
    <w:p w14:paraId="793A34DB">
      <w:pPr>
        <w:keepNext w:val="0"/>
        <w:keepLines w:val="0"/>
        <w:pageBreakBefore w:val="0"/>
        <w:widowControl w:val="0"/>
        <w:kinsoku/>
        <w:wordWrap/>
        <w:overflowPunct/>
        <w:topLinePunct w:val="0"/>
        <w:autoSpaceDE w:val="0"/>
        <w:autoSpaceDN w:val="0"/>
        <w:bidi w:val="0"/>
        <w:adjustRightInd w:val="0"/>
        <w:spacing w:line="360" w:lineRule="auto"/>
        <w:ind w:firstLine="480" w:firstLineChars="200"/>
        <w:outlineLvl w:val="9"/>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（一）实施地点：</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5476B07E">
      <w:pPr>
        <w:keepNext w:val="0"/>
        <w:keepLines w:val="0"/>
        <w:pageBreakBefore w:val="0"/>
        <w:widowControl w:val="0"/>
        <w:kinsoku/>
        <w:wordWrap/>
        <w:overflowPunct/>
        <w:topLinePunct w:val="0"/>
        <w:autoSpaceDE w:val="0"/>
        <w:autoSpaceDN w:val="0"/>
        <w:bidi w:val="0"/>
        <w:adjustRightInd w:val="0"/>
        <w:spacing w:line="360" w:lineRule="auto"/>
        <w:ind w:firstLine="480" w:firstLineChars="200"/>
        <w:outlineLvl w:val="9"/>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（二）工期：</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7D3B085B">
      <w:pPr>
        <w:keepNext w:val="0"/>
        <w:keepLines w:val="0"/>
        <w:pageBreakBefore w:val="0"/>
        <w:widowControl w:val="0"/>
        <w:kinsoku/>
        <w:wordWrap/>
        <w:overflowPunct/>
        <w:topLinePunct w:val="0"/>
        <w:autoSpaceDE w:val="0"/>
        <w:autoSpaceDN w:val="0"/>
        <w:bidi w:val="0"/>
        <w:adjustRightInd w:val="0"/>
        <w:spacing w:line="360" w:lineRule="auto"/>
        <w:ind w:firstLine="480" w:firstLineChars="200"/>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（三）缺陷责任期：自本项目竣工验收合格之日起一年。</w:t>
      </w:r>
    </w:p>
    <w:p w14:paraId="61760616">
      <w:pPr>
        <w:keepNext w:val="0"/>
        <w:keepLines w:val="0"/>
        <w:pageBreakBefore w:val="0"/>
        <w:widowControl w:val="0"/>
        <w:kinsoku/>
        <w:wordWrap/>
        <w:overflowPunct/>
        <w:topLinePunct w:val="0"/>
        <w:autoSpaceDE w:val="0"/>
        <w:autoSpaceDN w:val="0"/>
        <w:bidi w:val="0"/>
        <w:adjustRightInd w:val="0"/>
        <w:spacing w:line="360" w:lineRule="auto"/>
        <w:ind w:firstLine="480" w:firstLineChars="200"/>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（四）工程内容：详见工程量清单。</w:t>
      </w:r>
    </w:p>
    <w:p w14:paraId="21D3B979">
      <w:pPr>
        <w:keepNext w:val="0"/>
        <w:keepLines w:val="0"/>
        <w:pageBreakBefore w:val="0"/>
        <w:widowControl w:val="0"/>
        <w:kinsoku/>
        <w:wordWrap/>
        <w:overflowPunct/>
        <w:topLinePunct w:val="0"/>
        <w:autoSpaceDE w:val="0"/>
        <w:autoSpaceDN w:val="0"/>
        <w:bidi w:val="0"/>
        <w:adjustRightInd w:val="0"/>
        <w:spacing w:line="360" w:lineRule="auto"/>
        <w:ind w:firstLine="480" w:firstLineChars="200"/>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（五）工程承包范围：工程量清单、答疑以及本磋商文件规定的全部内容。文字与清单不符时，以清单为准。</w:t>
      </w:r>
    </w:p>
    <w:p w14:paraId="0ADC8FAC">
      <w:pPr>
        <w:keepNext w:val="0"/>
        <w:keepLines w:val="0"/>
        <w:pageBreakBefore w:val="0"/>
        <w:widowControl w:val="0"/>
        <w:kinsoku/>
        <w:wordWrap/>
        <w:overflowPunct/>
        <w:topLinePunct w:val="0"/>
        <w:autoSpaceDE w:val="0"/>
        <w:autoSpaceDN w:val="0"/>
        <w:bidi w:val="0"/>
        <w:adjustRightInd w:val="0"/>
        <w:spacing w:line="360" w:lineRule="auto"/>
        <w:ind w:firstLine="480" w:firstLineChars="200"/>
        <w:outlineLvl w:val="9"/>
        <w:rPr>
          <w:rFonts w:hint="eastAsia" w:ascii="仿宋" w:hAnsi="仿宋" w:eastAsia="仿宋" w:cs="仿宋"/>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（六）质量标准：符合国家现行有关施工质量验收规范“合格”要求。</w:t>
      </w:r>
    </w:p>
    <w:p w14:paraId="2E56C0FF">
      <w:pPr>
        <w:keepNext w:val="0"/>
        <w:keepLines w:val="0"/>
        <w:pageBreakBefore w:val="0"/>
        <w:widowControl w:val="0"/>
        <w:kinsoku/>
        <w:wordWrap/>
        <w:overflowPunct/>
        <w:topLinePunct w:val="0"/>
        <w:autoSpaceDE w:val="0"/>
        <w:autoSpaceDN w:val="0"/>
        <w:bidi w:val="0"/>
        <w:adjustRightInd w:val="0"/>
        <w:spacing w:line="360" w:lineRule="auto"/>
        <w:ind w:firstLine="480" w:firstLineChars="200"/>
        <w:outlineLvl w:val="9"/>
        <w:rPr>
          <w:rFonts w:hint="eastAsia" w:ascii="仿宋" w:hAnsi="仿宋" w:eastAsia="仿宋" w:cs="仿宋"/>
          <w:sz w:val="24"/>
          <w:szCs w:val="24"/>
          <w:highlight w:val="none"/>
          <w:lang w:val="en-US" w:eastAsia="zh-CN"/>
        </w:rPr>
      </w:pPr>
      <w:r>
        <w:rPr>
          <w:rFonts w:hint="eastAsia" w:ascii="仿宋" w:hAnsi="仿宋" w:eastAsia="仿宋" w:cs="仿宋"/>
          <w:bCs/>
          <w:color w:val="auto"/>
          <w:sz w:val="24"/>
          <w:szCs w:val="24"/>
          <w:highlight w:val="none"/>
          <w:lang w:val="en-US" w:eastAsia="zh-CN"/>
        </w:rPr>
        <w:t>（七）本工程质量保修期为两年，质保期内所发生的的修复费用，均由乙方承担。</w:t>
      </w:r>
    </w:p>
    <w:p w14:paraId="009856DA">
      <w:pPr>
        <w:keepNext w:val="0"/>
        <w:keepLines w:val="0"/>
        <w:pageBreakBefore w:val="0"/>
        <w:widowControl w:val="0"/>
        <w:kinsoku/>
        <w:wordWrap/>
        <w:overflowPunct/>
        <w:topLinePunct w:val="0"/>
        <w:autoSpaceDE w:val="0"/>
        <w:autoSpaceDN w:val="0"/>
        <w:bidi w:val="0"/>
        <w:adjustRightInd w:val="0"/>
        <w:spacing w:line="360" w:lineRule="auto"/>
        <w:ind w:firstLine="480" w:firstLineChars="200"/>
        <w:outlineLvl w:val="9"/>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lang w:val="en-US" w:eastAsia="zh-CN"/>
        </w:rPr>
        <w:t>（八）项目经理姓名：</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none"/>
          <w:lang w:val="en-US" w:eastAsia="zh-CN"/>
        </w:rPr>
        <w:t xml:space="preserve"> ；注册证号：</w:t>
      </w:r>
      <w:r>
        <w:rPr>
          <w:rFonts w:hint="eastAsia" w:ascii="仿宋" w:hAnsi="仿宋" w:eastAsia="仿宋" w:cs="仿宋"/>
          <w:bCs/>
          <w:color w:val="auto"/>
          <w:sz w:val="24"/>
          <w:szCs w:val="24"/>
          <w:highlight w:val="none"/>
          <w:u w:val="single"/>
          <w:lang w:val="en-US" w:eastAsia="zh-CN"/>
        </w:rPr>
        <w:t xml:space="preserve">        </w:t>
      </w:r>
      <w:r>
        <w:rPr>
          <w:rFonts w:hint="eastAsia" w:ascii="仿宋" w:hAnsi="仿宋" w:eastAsia="仿宋" w:cs="仿宋"/>
          <w:bCs/>
          <w:color w:val="auto"/>
          <w:sz w:val="24"/>
          <w:szCs w:val="24"/>
          <w:highlight w:val="none"/>
          <w:lang w:val="en-US" w:eastAsia="zh-CN"/>
        </w:rPr>
        <w:t>。</w:t>
      </w:r>
    </w:p>
    <w:p w14:paraId="2AE7434F">
      <w:pPr>
        <w:pStyle w:val="7"/>
        <w:keepNext w:val="0"/>
        <w:keepLines w:val="0"/>
        <w:pageBreakBefore w:val="0"/>
        <w:widowControl w:val="0"/>
        <w:kinsoku/>
        <w:wordWrap/>
        <w:overflowPunct/>
        <w:topLinePunct w:val="0"/>
        <w:autoSpaceDE/>
        <w:autoSpaceDN/>
        <w:bidi w:val="0"/>
        <w:adjustRightInd/>
        <w:snapToGrid/>
        <w:spacing w:after="0" w:line="360" w:lineRule="auto"/>
        <w:ind w:left="0" w:leftChars="0" w:firstLine="482" w:firstLineChars="200"/>
        <w:textAlignment w:val="auto"/>
        <w:outlineLvl w:val="9"/>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四、质量保证</w:t>
      </w:r>
    </w:p>
    <w:p w14:paraId="2A8D94C7">
      <w:pPr>
        <w:keepNext w:val="0"/>
        <w:keepLines w:val="0"/>
        <w:pageBreakBefore w:val="0"/>
        <w:widowControl w:val="0"/>
        <w:kinsoku/>
        <w:wordWrap/>
        <w:overflowPunct/>
        <w:topLinePunct w:val="0"/>
        <w:autoSpaceDE w:val="0"/>
        <w:autoSpaceDN w:val="0"/>
        <w:bidi w:val="0"/>
        <w:adjustRightInd w:val="0"/>
        <w:spacing w:line="360" w:lineRule="auto"/>
        <w:ind w:firstLine="470" w:firstLineChars="196"/>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所选材料必须保证质量可靠、进货渠道正常，符合国家环保等相关标准，满足施工要求。</w:t>
      </w:r>
    </w:p>
    <w:p w14:paraId="01C8C4D8">
      <w:pPr>
        <w:keepNext w:val="0"/>
        <w:keepLines w:val="0"/>
        <w:pageBreakBefore w:val="0"/>
        <w:widowControl w:val="0"/>
        <w:kinsoku/>
        <w:wordWrap/>
        <w:overflowPunct/>
        <w:topLinePunct w:val="0"/>
        <w:autoSpaceDE w:val="0"/>
        <w:autoSpaceDN w:val="0"/>
        <w:bidi w:val="0"/>
        <w:adjustRightInd w:val="0"/>
        <w:spacing w:line="360" w:lineRule="auto"/>
        <w:ind w:firstLine="470" w:firstLineChars="196"/>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工程质量符合国家有关规范，确保达到合格。</w:t>
      </w:r>
    </w:p>
    <w:p w14:paraId="75E671EF">
      <w:pPr>
        <w:keepNext w:val="0"/>
        <w:keepLines w:val="0"/>
        <w:pageBreakBefore w:val="0"/>
        <w:widowControl w:val="0"/>
        <w:kinsoku/>
        <w:wordWrap/>
        <w:overflowPunct/>
        <w:topLinePunct w:val="0"/>
        <w:autoSpaceDE w:val="0"/>
        <w:autoSpaceDN w:val="0"/>
        <w:bidi w:val="0"/>
        <w:adjustRightInd w:val="0"/>
        <w:spacing w:line="360" w:lineRule="auto"/>
        <w:ind w:firstLine="470" w:firstLineChars="196"/>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（三）</w:t>
      </w:r>
      <w:r>
        <w:rPr>
          <w:rFonts w:hint="eastAsia" w:ascii="仿宋" w:hAnsi="仿宋" w:eastAsia="仿宋" w:cs="仿宋"/>
          <w:color w:val="auto"/>
          <w:sz w:val="24"/>
          <w:szCs w:val="24"/>
          <w:highlight w:val="none"/>
          <w:lang w:val="zh-CN"/>
        </w:rPr>
        <w:t>该工程项目质量保修期按有关文件规定执行。</w:t>
      </w:r>
    </w:p>
    <w:p w14:paraId="69FED5E6">
      <w:pPr>
        <w:keepNext w:val="0"/>
        <w:keepLines w:val="0"/>
        <w:pageBreakBefore w:val="0"/>
        <w:widowControl w:val="0"/>
        <w:kinsoku/>
        <w:wordWrap/>
        <w:overflowPunct/>
        <w:topLinePunct w:val="0"/>
        <w:bidi w:val="0"/>
        <w:spacing w:line="360" w:lineRule="auto"/>
        <w:ind w:firstLine="600" w:firstLineChars="249"/>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五、双方责任</w:t>
      </w:r>
    </w:p>
    <w:p w14:paraId="0303554A">
      <w:pPr>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（一）甲方责任：</w:t>
      </w:r>
    </w:p>
    <w:p w14:paraId="44D9C382">
      <w:pPr>
        <w:keepNext w:val="0"/>
        <w:keepLines w:val="0"/>
        <w:pageBreakBefore w:val="0"/>
        <w:widowControl w:val="0"/>
        <w:kinsoku/>
        <w:wordWrap/>
        <w:overflowPunct/>
        <w:topLinePunct w:val="0"/>
        <w:bidi w:val="0"/>
        <w:spacing w:line="360" w:lineRule="auto"/>
        <w:ind w:firstLine="480" w:firstLineChars="200"/>
        <w:jc w:val="left"/>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1、甲方负责施工场地的提供，排除施工障碍的协调。</w:t>
      </w:r>
    </w:p>
    <w:p w14:paraId="27DC8868">
      <w:pPr>
        <w:keepNext w:val="0"/>
        <w:keepLines w:val="0"/>
        <w:pageBreakBefore w:val="0"/>
        <w:widowControl w:val="0"/>
        <w:kinsoku/>
        <w:wordWrap/>
        <w:overflowPunct/>
        <w:topLinePunct w:val="0"/>
        <w:bidi w:val="0"/>
        <w:spacing w:line="360" w:lineRule="auto"/>
        <w:ind w:firstLine="480" w:firstLineChars="200"/>
        <w:jc w:val="left"/>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2、组织设计、设计变更及现场签证，工程结算的审定等工作。</w:t>
      </w:r>
    </w:p>
    <w:p w14:paraId="32607929">
      <w:pPr>
        <w:keepNext w:val="0"/>
        <w:keepLines w:val="0"/>
        <w:pageBreakBefore w:val="0"/>
        <w:widowControl w:val="0"/>
        <w:kinsoku/>
        <w:wordWrap/>
        <w:overflowPunct/>
        <w:topLinePunct w:val="0"/>
        <w:bidi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3、对工程进度、质量进行监督检查。</w:t>
      </w:r>
    </w:p>
    <w:p w14:paraId="1A75CDD9">
      <w:pPr>
        <w:keepNext w:val="0"/>
        <w:keepLines w:val="0"/>
        <w:pageBreakBefore w:val="0"/>
        <w:widowControl w:val="0"/>
        <w:kinsoku/>
        <w:wordWrap/>
        <w:overflowPunct/>
        <w:topLinePunct w:val="0"/>
        <w:bidi w:val="0"/>
        <w:spacing w:line="360" w:lineRule="auto"/>
        <w:ind w:firstLine="480" w:firstLineChars="200"/>
        <w:jc w:val="lef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4、组织有关单位对工程进行竣工验收。</w:t>
      </w:r>
    </w:p>
    <w:p w14:paraId="480ABF50">
      <w:pPr>
        <w:keepNext w:val="0"/>
        <w:keepLines w:val="0"/>
        <w:pageBreakBefore w:val="0"/>
        <w:widowControl w:val="0"/>
        <w:kinsoku/>
        <w:wordWrap/>
        <w:overflowPunct/>
        <w:topLinePunct w:val="0"/>
        <w:bidi w:val="0"/>
        <w:spacing w:line="360" w:lineRule="auto"/>
        <w:ind w:firstLine="480" w:firstLineChars="200"/>
        <w:jc w:val="left"/>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5、按时支付工程款。</w:t>
      </w:r>
    </w:p>
    <w:p w14:paraId="3D8D7BD2">
      <w:pPr>
        <w:keepNext w:val="0"/>
        <w:keepLines w:val="0"/>
        <w:pageBreakBefore w:val="0"/>
        <w:widowControl w:val="0"/>
        <w:kinsoku/>
        <w:wordWrap/>
        <w:overflowPunct/>
        <w:topLinePunct w:val="0"/>
        <w:bidi w:val="0"/>
        <w:spacing w:line="360" w:lineRule="auto"/>
        <w:ind w:firstLine="480" w:firstLineChars="200"/>
        <w:jc w:val="left"/>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（二） 乙方责任：</w:t>
      </w:r>
    </w:p>
    <w:p w14:paraId="07565E4E">
      <w:pPr>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1、负责办理完成项目使用审批手续，负责工程安全文明施工、承担一切风险，满足甲方工程的需要。保证甲方正式投入使用，再无其他费用发生。</w:t>
      </w:r>
    </w:p>
    <w:p w14:paraId="432D2ED9">
      <w:pPr>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乙方进入甲方要求场地施工，应服从当地对治安、卫生、环保、社会保险等工程建设的统一管理，并按有关规定交纳费用以及因违反相关规定而造成的罚款。乙方按照国家和当地政府有关规定应采取的任何必要安全防护措施已包含在乙方的合同价款当中，甲方不另行支付。</w:t>
      </w:r>
    </w:p>
    <w:p w14:paraId="317B91DC">
      <w:pPr>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按照说明进行施工，确保工程按合同规定的时间如期完工和交付；并应接受甲方代表或委派人员的检查、检验，乙方应为甲方人员检查提供便利条件，对不合格的部分按甲方代表及委派人员的要求返工修改，承担由自身原因导致的返工修改费用，工期不予顺延。</w:t>
      </w:r>
    </w:p>
    <w:p w14:paraId="358FD1B0">
      <w:pPr>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提供的主要材料、设备必须有质量合格证等相关证件方可用于工程，对材料改变或代用必须经原单位同意，并发书面通知和甲方代表签证后，方可用于工程，任何一方认为对方提供的材料需要复检的，应允许复检。经复检符合质量要求的，方可用于工程，其复检费由要求一方承担，不符合质量要求的，应按有关规定处理，其复检费由提供材料、设备一方承担。</w:t>
      </w:r>
    </w:p>
    <w:p w14:paraId="59E95CB6">
      <w:pPr>
        <w:keepNext w:val="0"/>
        <w:keepLines w:val="0"/>
        <w:pageBreakBefore w:val="0"/>
        <w:widowControl w:val="0"/>
        <w:kinsoku/>
        <w:wordWrap/>
        <w:overflowPunct/>
        <w:topLinePunct w:val="0"/>
        <w:bidi w:val="0"/>
        <w:spacing w:line="360" w:lineRule="auto"/>
        <w:ind w:firstLine="480" w:firstLineChars="200"/>
        <w:jc w:val="left"/>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、采取有效的安全保障措施，确保施工安全，包括悬挂警示标牌、装设围栏、配备安全人员等，并承担事故的全部费用和责任。</w:t>
      </w:r>
    </w:p>
    <w:p w14:paraId="66B1FD85">
      <w:pPr>
        <w:keepNext w:val="0"/>
        <w:keepLines w:val="0"/>
        <w:pageBreakBefore w:val="0"/>
        <w:widowControl w:val="0"/>
        <w:kinsoku/>
        <w:wordWrap/>
        <w:overflowPunct/>
        <w:topLinePunct w:val="0"/>
        <w:bidi w:val="0"/>
        <w:spacing w:line="360" w:lineRule="auto"/>
        <w:ind w:firstLine="480" w:firstLineChars="200"/>
        <w:jc w:val="left"/>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、已完工的项目，在交工前乙方应负责保管，清理现场达到建筑物无污染，现场无建筑垃圾。</w:t>
      </w:r>
    </w:p>
    <w:p w14:paraId="05297E0D">
      <w:pPr>
        <w:keepNext w:val="0"/>
        <w:keepLines w:val="0"/>
        <w:pageBreakBefore w:val="0"/>
        <w:widowControl w:val="0"/>
        <w:kinsoku/>
        <w:wordWrap/>
        <w:overflowPunct/>
        <w:topLinePunct w:val="0"/>
        <w:bidi w:val="0"/>
        <w:spacing w:line="360" w:lineRule="auto"/>
        <w:ind w:firstLine="480" w:firstLineChars="200"/>
        <w:jc w:val="left"/>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、本工程不得转包。</w:t>
      </w:r>
    </w:p>
    <w:p w14:paraId="0E852CF9">
      <w:pPr>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b/>
          <w:color w:val="auto"/>
          <w:sz w:val="24"/>
          <w:szCs w:val="24"/>
          <w:highlight w:val="none"/>
          <w:lang w:val="zh-CN"/>
        </w:rPr>
      </w:pP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、乙方不能按合同规定的工期竣工的，应向甲方支付违约金，每逾期一日，支付合同总价款万分之二的违约金，造成甲方损失的，还应赔偿甲方损失。</w:t>
      </w:r>
    </w:p>
    <w:p w14:paraId="3589B8E4">
      <w:pPr>
        <w:keepNext w:val="0"/>
        <w:keepLines w:val="0"/>
        <w:pageBreakBefore w:val="0"/>
        <w:widowControl w:val="0"/>
        <w:kinsoku/>
        <w:wordWrap/>
        <w:overflowPunct/>
        <w:topLinePunct w:val="0"/>
        <w:bidi w:val="0"/>
        <w:spacing w:line="360" w:lineRule="auto"/>
        <w:ind w:firstLine="634" w:firstLineChars="263"/>
        <w:jc w:val="left"/>
        <w:textAlignment w:val="baseline"/>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六、组成合同的文件</w:t>
      </w:r>
    </w:p>
    <w:p w14:paraId="19DB4706">
      <w:pPr>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1．组成本合同的文件包括：</w:t>
      </w:r>
    </w:p>
    <w:p w14:paraId="08D016A5">
      <w:pPr>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(1)、本合同书</w:t>
      </w:r>
    </w:p>
    <w:p w14:paraId="7469808C">
      <w:pPr>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成交</w:t>
      </w:r>
      <w:r>
        <w:rPr>
          <w:rFonts w:hint="eastAsia" w:ascii="仿宋" w:hAnsi="仿宋" w:eastAsia="仿宋" w:cs="仿宋"/>
          <w:color w:val="auto"/>
          <w:sz w:val="24"/>
          <w:szCs w:val="24"/>
          <w:highlight w:val="none"/>
        </w:rPr>
        <w:t>通知书</w:t>
      </w:r>
    </w:p>
    <w:p w14:paraId="11D937F1">
      <w:pPr>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磋商</w:t>
      </w:r>
      <w:r>
        <w:rPr>
          <w:rFonts w:hint="eastAsia" w:ascii="仿宋" w:hAnsi="仿宋" w:eastAsia="仿宋" w:cs="仿宋"/>
          <w:color w:val="auto"/>
          <w:sz w:val="24"/>
          <w:szCs w:val="24"/>
          <w:highlight w:val="none"/>
        </w:rPr>
        <w:t>文件及其附件</w:t>
      </w:r>
    </w:p>
    <w:p w14:paraId="6DACCFE6">
      <w:pPr>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磋商报价</w:t>
      </w:r>
    </w:p>
    <w:p w14:paraId="100AA74F">
      <w:pPr>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技术标准和要求</w:t>
      </w:r>
    </w:p>
    <w:p w14:paraId="147C6F77">
      <w:pPr>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其他合同文件。</w:t>
      </w:r>
    </w:p>
    <w:p w14:paraId="211ADF9D">
      <w:pPr>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2．双方有关工程的洽商、变更等书面协议或文件、补充协议书均视为本合同的组成部分。</w:t>
      </w:r>
    </w:p>
    <w:p w14:paraId="519C733A">
      <w:pPr>
        <w:keepNext w:val="0"/>
        <w:keepLines w:val="0"/>
        <w:pageBreakBefore w:val="0"/>
        <w:widowControl w:val="0"/>
        <w:kinsoku/>
        <w:wordWrap/>
        <w:overflowPunct/>
        <w:topLinePunct w:val="0"/>
        <w:autoSpaceDE w:val="0"/>
        <w:autoSpaceDN w:val="0"/>
        <w:bidi w:val="0"/>
        <w:adjustRightInd w:val="0"/>
        <w:spacing w:line="360" w:lineRule="auto"/>
        <w:ind w:firstLine="472" w:firstLineChars="196"/>
        <w:outlineLvl w:val="9"/>
        <w:rPr>
          <w:rFonts w:hint="eastAsia" w:ascii="仿宋" w:hAnsi="仿宋" w:eastAsia="仿宋" w:cs="仿宋"/>
          <w:b/>
          <w:color w:val="auto"/>
          <w:sz w:val="24"/>
          <w:szCs w:val="24"/>
          <w:highlight w:val="none"/>
          <w:lang w:val="zh-CN"/>
        </w:rPr>
      </w:pPr>
      <w:r>
        <w:rPr>
          <w:rFonts w:hint="eastAsia" w:ascii="仿宋" w:hAnsi="仿宋" w:eastAsia="仿宋" w:cs="仿宋"/>
          <w:b/>
          <w:color w:val="auto"/>
          <w:sz w:val="24"/>
          <w:szCs w:val="24"/>
          <w:highlight w:val="none"/>
          <w:lang w:val="zh-CN"/>
        </w:rPr>
        <w:t>七、验收</w:t>
      </w:r>
    </w:p>
    <w:p w14:paraId="65D6A47B">
      <w:pPr>
        <w:keepNext w:val="0"/>
        <w:keepLines w:val="0"/>
        <w:pageBreakBefore w:val="0"/>
        <w:widowControl w:val="0"/>
        <w:kinsoku/>
        <w:wordWrap/>
        <w:overflowPunct/>
        <w:topLinePunct w:val="0"/>
        <w:autoSpaceDE w:val="0"/>
        <w:autoSpaceDN w:val="0"/>
        <w:bidi w:val="0"/>
        <w:adjustRightInd w:val="0"/>
        <w:spacing w:line="360" w:lineRule="auto"/>
        <w:ind w:firstLine="470" w:firstLineChars="196"/>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（一）</w:t>
      </w:r>
      <w:r>
        <w:rPr>
          <w:rFonts w:hint="eastAsia" w:ascii="仿宋" w:hAnsi="仿宋" w:eastAsia="仿宋" w:cs="仿宋"/>
          <w:color w:val="auto"/>
          <w:sz w:val="24"/>
          <w:szCs w:val="24"/>
          <w:highlight w:val="none"/>
          <w:lang w:val="zh-CN"/>
        </w:rPr>
        <w:t>乙方工程完工后，进行自检，合格后准备验收文件，并书面通知甲方。</w:t>
      </w:r>
    </w:p>
    <w:p w14:paraId="68364030">
      <w:pPr>
        <w:keepNext w:val="0"/>
        <w:keepLines w:val="0"/>
        <w:pageBreakBefore w:val="0"/>
        <w:widowControl w:val="0"/>
        <w:kinsoku/>
        <w:wordWrap/>
        <w:overflowPunct/>
        <w:topLinePunct w:val="0"/>
        <w:autoSpaceDE w:val="0"/>
        <w:autoSpaceDN w:val="0"/>
        <w:bidi w:val="0"/>
        <w:adjustRightInd w:val="0"/>
        <w:spacing w:line="360" w:lineRule="auto"/>
        <w:ind w:firstLine="470" w:firstLineChars="196"/>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（二）</w:t>
      </w:r>
      <w:r>
        <w:rPr>
          <w:rFonts w:hint="eastAsia" w:ascii="仿宋" w:hAnsi="仿宋" w:eastAsia="仿宋" w:cs="仿宋"/>
          <w:color w:val="auto"/>
          <w:sz w:val="24"/>
          <w:szCs w:val="24"/>
          <w:highlight w:val="none"/>
          <w:lang w:val="zh-CN"/>
        </w:rPr>
        <w:t>甲方确认乙方的自检内容，验收合格作为工程的最终认可。</w:t>
      </w:r>
    </w:p>
    <w:p w14:paraId="41489310">
      <w:pPr>
        <w:keepNext w:val="0"/>
        <w:keepLines w:val="0"/>
        <w:pageBreakBefore w:val="0"/>
        <w:widowControl w:val="0"/>
        <w:kinsoku/>
        <w:wordWrap/>
        <w:overflowPunct/>
        <w:topLinePunct w:val="0"/>
        <w:autoSpaceDE w:val="0"/>
        <w:autoSpaceDN w:val="0"/>
        <w:bidi w:val="0"/>
        <w:adjustRightInd w:val="0"/>
        <w:spacing w:line="360" w:lineRule="auto"/>
        <w:ind w:firstLine="470" w:firstLineChars="196"/>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rPr>
        <w:t>（四）</w:t>
      </w:r>
      <w:r>
        <w:rPr>
          <w:rFonts w:hint="eastAsia" w:ascii="仿宋" w:hAnsi="仿宋" w:eastAsia="仿宋" w:cs="仿宋"/>
          <w:color w:val="auto"/>
          <w:sz w:val="24"/>
          <w:szCs w:val="24"/>
          <w:highlight w:val="none"/>
          <w:lang w:val="zh-CN"/>
        </w:rPr>
        <w:t>验收依据：</w:t>
      </w:r>
    </w:p>
    <w:p w14:paraId="60195D4A">
      <w:pPr>
        <w:keepNext w:val="0"/>
        <w:keepLines w:val="0"/>
        <w:pageBreakBefore w:val="0"/>
        <w:widowControl w:val="0"/>
        <w:kinsoku/>
        <w:wordWrap/>
        <w:overflowPunct/>
        <w:topLinePunct w:val="0"/>
        <w:autoSpaceDE w:val="0"/>
        <w:autoSpaceDN w:val="0"/>
        <w:bidi w:val="0"/>
        <w:adjustRightInd w:val="0"/>
        <w:spacing w:line="360" w:lineRule="auto"/>
        <w:ind w:firstLine="470" w:firstLineChars="196"/>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4-1、合同、磋商文件、磋商响应文件及承诺。</w:t>
      </w:r>
    </w:p>
    <w:p w14:paraId="2A0C8EB9">
      <w:pPr>
        <w:keepNext w:val="0"/>
        <w:keepLines w:val="0"/>
        <w:pageBreakBefore w:val="0"/>
        <w:widowControl w:val="0"/>
        <w:kinsoku/>
        <w:wordWrap/>
        <w:overflowPunct/>
        <w:topLinePunct w:val="0"/>
        <w:autoSpaceDE w:val="0"/>
        <w:autoSpaceDN w:val="0"/>
        <w:bidi w:val="0"/>
        <w:adjustRightInd w:val="0"/>
        <w:spacing w:line="360" w:lineRule="auto"/>
        <w:ind w:firstLine="470" w:firstLineChars="196"/>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4-2、国家相关</w:t>
      </w:r>
      <w:r>
        <w:rPr>
          <w:rFonts w:hint="eastAsia" w:ascii="仿宋" w:hAnsi="仿宋" w:eastAsia="仿宋" w:cs="仿宋"/>
          <w:bCs/>
          <w:color w:val="auto"/>
          <w:sz w:val="24"/>
          <w:szCs w:val="24"/>
          <w:highlight w:val="none"/>
        </w:rPr>
        <w:t>标准、规范及有关技术文件</w:t>
      </w:r>
      <w:r>
        <w:rPr>
          <w:rFonts w:hint="eastAsia" w:ascii="仿宋" w:hAnsi="仿宋" w:eastAsia="仿宋" w:cs="仿宋"/>
          <w:color w:val="auto"/>
          <w:sz w:val="24"/>
          <w:szCs w:val="24"/>
          <w:highlight w:val="none"/>
          <w:lang w:val="zh-CN"/>
        </w:rPr>
        <w:t>。</w:t>
      </w:r>
    </w:p>
    <w:p w14:paraId="12847EB8">
      <w:pPr>
        <w:keepNext w:val="0"/>
        <w:keepLines w:val="0"/>
        <w:pageBreakBefore w:val="0"/>
        <w:widowControl w:val="0"/>
        <w:kinsoku/>
        <w:wordWrap/>
        <w:overflowPunct/>
        <w:topLinePunct w:val="0"/>
        <w:bidi w:val="0"/>
        <w:spacing w:line="360" w:lineRule="auto"/>
        <w:ind w:firstLine="482" w:firstLineChars="20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八、争议的解决方式</w:t>
      </w:r>
    </w:p>
    <w:p w14:paraId="3BE98336">
      <w:pPr>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合同执行过程中如发生争议，双方应及时协商解决，协商不成，双方均可向项目所在地人民法院起诉。</w:t>
      </w:r>
    </w:p>
    <w:p w14:paraId="29CA1577">
      <w:pPr>
        <w:keepNext w:val="0"/>
        <w:keepLines w:val="0"/>
        <w:pageBreakBefore w:val="0"/>
        <w:widowControl w:val="0"/>
        <w:kinsoku/>
        <w:wordWrap/>
        <w:overflowPunct/>
        <w:topLinePunct w:val="0"/>
        <w:bidi w:val="0"/>
        <w:spacing w:line="360" w:lineRule="auto"/>
        <w:ind w:firstLine="482" w:firstLineChars="20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九、其他</w:t>
      </w:r>
    </w:p>
    <w:p w14:paraId="6A99AA5A">
      <w:pPr>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本合同未定事宜，双方可根据具体情况结合有关规定另行签订补充协议，补充协议与本合同具有同等法律效力。</w:t>
      </w:r>
    </w:p>
    <w:p w14:paraId="6FDD34CD">
      <w:pPr>
        <w:keepNext w:val="0"/>
        <w:keepLines w:val="0"/>
        <w:pageBreakBefore w:val="0"/>
        <w:widowControl w:val="0"/>
        <w:kinsoku/>
        <w:wordWrap/>
        <w:overflowPunct/>
        <w:topLinePunct w:val="0"/>
        <w:bidi w:val="0"/>
        <w:spacing w:line="360" w:lineRule="auto"/>
        <w:ind w:firstLine="482" w:firstLineChars="200"/>
        <w:outlineLvl w:val="9"/>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十、附则</w:t>
      </w:r>
    </w:p>
    <w:p w14:paraId="4478076C">
      <w:pPr>
        <w:keepNext w:val="0"/>
        <w:keepLines w:val="0"/>
        <w:pageBreakBefore w:val="0"/>
        <w:widowControl w:val="0"/>
        <w:tabs>
          <w:tab w:val="left" w:pos="0"/>
        </w:tabs>
        <w:kinsoku/>
        <w:wordWrap/>
        <w:overflowPunct/>
        <w:topLinePunct w:val="0"/>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（一）本合同一式</w:t>
      </w:r>
      <w:r>
        <w:rPr>
          <w:rFonts w:hint="eastAsia" w:ascii="仿宋" w:hAnsi="仿宋" w:eastAsia="仿宋" w:cs="仿宋"/>
          <w:color w:val="auto"/>
          <w:sz w:val="24"/>
          <w:szCs w:val="24"/>
          <w:highlight w:val="none"/>
          <w:u w:val="single"/>
          <w:lang w:val="en-US" w:eastAsia="zh-CN"/>
        </w:rPr>
        <w:t>肆</w:t>
      </w:r>
      <w:r>
        <w:rPr>
          <w:rFonts w:hint="eastAsia" w:ascii="仿宋" w:hAnsi="仿宋" w:eastAsia="仿宋" w:cs="仿宋"/>
          <w:color w:val="auto"/>
          <w:sz w:val="24"/>
          <w:szCs w:val="24"/>
          <w:highlight w:val="none"/>
        </w:rPr>
        <w:t>份，甲、乙方各执</w:t>
      </w:r>
      <w:r>
        <w:rPr>
          <w:rFonts w:hint="eastAsia" w:ascii="仿宋" w:hAnsi="仿宋" w:eastAsia="仿宋" w:cs="仿宋"/>
          <w:color w:val="auto"/>
          <w:sz w:val="24"/>
          <w:szCs w:val="24"/>
          <w:highlight w:val="none"/>
          <w:u w:val="single"/>
          <w:lang w:val="en-US" w:eastAsia="zh-CN"/>
        </w:rPr>
        <w:t>贰</w:t>
      </w:r>
      <w:r>
        <w:rPr>
          <w:rFonts w:hint="eastAsia" w:ascii="仿宋" w:hAnsi="仿宋" w:eastAsia="仿宋" w:cs="仿宋"/>
          <w:color w:val="auto"/>
          <w:sz w:val="24"/>
          <w:szCs w:val="24"/>
          <w:highlight w:val="none"/>
        </w:rPr>
        <w:t>份。</w:t>
      </w:r>
    </w:p>
    <w:p w14:paraId="7270D332">
      <w:pPr>
        <w:keepNext w:val="0"/>
        <w:keepLines w:val="0"/>
        <w:pageBreakBefore w:val="0"/>
        <w:widowControl w:val="0"/>
        <w:kinsoku/>
        <w:wordWrap/>
        <w:overflowPunct/>
        <w:topLinePunct w:val="0"/>
        <w:bidi w:val="0"/>
        <w:spacing w:line="360" w:lineRule="auto"/>
        <w:ind w:firstLine="480" w:firstLineChars="200"/>
        <w:outlineLvl w:val="9"/>
        <w:rPr>
          <w:rFonts w:hint="eastAsia" w:ascii="仿宋" w:hAnsi="仿宋" w:eastAsia="仿宋" w:cs="仿宋"/>
          <w:color w:val="auto"/>
          <w:spacing w:val="-20"/>
          <w:kern w:val="0"/>
          <w:sz w:val="24"/>
          <w:szCs w:val="24"/>
          <w:highlight w:val="none"/>
        </w:rPr>
      </w:pPr>
      <w:r>
        <w:rPr>
          <w:rFonts w:hint="eastAsia" w:ascii="仿宋" w:hAnsi="仿宋" w:eastAsia="仿宋" w:cs="仿宋"/>
          <w:color w:val="auto"/>
          <w:sz w:val="24"/>
          <w:szCs w:val="24"/>
          <w:highlight w:val="none"/>
        </w:rPr>
        <w:t>（二）合同经双方盖章后生效，各条款执行完毕后终止。</w:t>
      </w:r>
    </w:p>
    <w:tbl>
      <w:tblPr>
        <w:tblStyle w:val="8"/>
        <w:tblW w:w="8403" w:type="dxa"/>
        <w:jc w:val="center"/>
        <w:tblLayout w:type="fixed"/>
        <w:tblCellMar>
          <w:top w:w="0" w:type="dxa"/>
          <w:left w:w="108" w:type="dxa"/>
          <w:bottom w:w="0" w:type="dxa"/>
          <w:right w:w="108" w:type="dxa"/>
        </w:tblCellMar>
      </w:tblPr>
      <w:tblGrid>
        <w:gridCol w:w="4201"/>
        <w:gridCol w:w="4202"/>
      </w:tblGrid>
      <w:tr w14:paraId="6EB6388E">
        <w:tblPrEx>
          <w:tblCellMar>
            <w:top w:w="0" w:type="dxa"/>
            <w:left w:w="108" w:type="dxa"/>
            <w:bottom w:w="0" w:type="dxa"/>
            <w:right w:w="108" w:type="dxa"/>
          </w:tblCellMar>
        </w:tblPrEx>
        <w:trPr>
          <w:trHeight w:val="567" w:hRule="exact"/>
          <w:jc w:val="center"/>
        </w:trPr>
        <w:tc>
          <w:tcPr>
            <w:tcW w:w="4201" w:type="dxa"/>
            <w:noWrap/>
            <w:vAlign w:val="center"/>
          </w:tcPr>
          <w:p w14:paraId="78804D51">
            <w:pPr>
              <w:keepNext w:val="0"/>
              <w:keepLines w:val="0"/>
              <w:pageBreakBefore w:val="0"/>
              <w:widowControl w:val="0"/>
              <w:kinsoku/>
              <w:wordWrap/>
              <w:overflowPunct/>
              <w:topLinePunct w:val="0"/>
              <w:autoSpaceDE w:val="0"/>
              <w:autoSpaceDN w:val="0"/>
              <w:bidi w:val="0"/>
              <w:adjustRightInd w:val="0"/>
              <w:spacing w:line="360" w:lineRule="auto"/>
              <w:outlineLvl w:val="9"/>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甲  方</w:t>
            </w:r>
          </w:p>
        </w:tc>
        <w:tc>
          <w:tcPr>
            <w:tcW w:w="4202" w:type="dxa"/>
            <w:noWrap/>
            <w:vAlign w:val="center"/>
          </w:tcPr>
          <w:p w14:paraId="7D8E9BDF">
            <w:pPr>
              <w:keepNext w:val="0"/>
              <w:keepLines w:val="0"/>
              <w:pageBreakBefore w:val="0"/>
              <w:widowControl w:val="0"/>
              <w:kinsoku/>
              <w:wordWrap/>
              <w:overflowPunct/>
              <w:topLinePunct w:val="0"/>
              <w:autoSpaceDE w:val="0"/>
              <w:autoSpaceDN w:val="0"/>
              <w:bidi w:val="0"/>
              <w:adjustRightInd w:val="0"/>
              <w:spacing w:line="360" w:lineRule="auto"/>
              <w:outlineLvl w:val="9"/>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乙  方</w:t>
            </w:r>
          </w:p>
        </w:tc>
      </w:tr>
      <w:tr w14:paraId="1D8FE9E5">
        <w:tblPrEx>
          <w:tblCellMar>
            <w:top w:w="0" w:type="dxa"/>
            <w:left w:w="108" w:type="dxa"/>
            <w:bottom w:w="0" w:type="dxa"/>
            <w:right w:w="108" w:type="dxa"/>
          </w:tblCellMar>
        </w:tblPrEx>
        <w:trPr>
          <w:trHeight w:val="567" w:hRule="exact"/>
          <w:jc w:val="center"/>
        </w:trPr>
        <w:tc>
          <w:tcPr>
            <w:tcW w:w="4201" w:type="dxa"/>
            <w:noWrap/>
            <w:vAlign w:val="center"/>
          </w:tcPr>
          <w:p w14:paraId="5CC2BF3F">
            <w:pPr>
              <w:keepNext w:val="0"/>
              <w:keepLines w:val="0"/>
              <w:pageBreakBefore w:val="0"/>
              <w:widowControl w:val="0"/>
              <w:kinsoku/>
              <w:wordWrap/>
              <w:overflowPunct/>
              <w:topLinePunct w:val="0"/>
              <w:autoSpaceDE w:val="0"/>
              <w:autoSpaceDN w:val="0"/>
              <w:bidi w:val="0"/>
              <w:adjustRightInd w:val="0"/>
              <w:spacing w:line="360" w:lineRule="auto"/>
              <w:outlineLvl w:val="9"/>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c>
          <w:tcPr>
            <w:tcW w:w="4202" w:type="dxa"/>
            <w:noWrap/>
            <w:vAlign w:val="center"/>
          </w:tcPr>
          <w:p w14:paraId="340D319E">
            <w:pPr>
              <w:keepNext w:val="0"/>
              <w:keepLines w:val="0"/>
              <w:pageBreakBefore w:val="0"/>
              <w:widowControl w:val="0"/>
              <w:kinsoku/>
              <w:wordWrap/>
              <w:overflowPunct/>
              <w:topLinePunct w:val="0"/>
              <w:autoSpaceDE w:val="0"/>
              <w:autoSpaceDN w:val="0"/>
              <w:bidi w:val="0"/>
              <w:adjustRightInd w:val="0"/>
              <w:spacing w:line="360" w:lineRule="auto"/>
              <w:outlineLvl w:val="9"/>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（盖章）</w:t>
            </w:r>
          </w:p>
        </w:tc>
      </w:tr>
      <w:tr w14:paraId="305848E8">
        <w:tblPrEx>
          <w:tblCellMar>
            <w:top w:w="0" w:type="dxa"/>
            <w:left w:w="108" w:type="dxa"/>
            <w:bottom w:w="0" w:type="dxa"/>
            <w:right w:w="108" w:type="dxa"/>
          </w:tblCellMar>
        </w:tblPrEx>
        <w:trPr>
          <w:trHeight w:val="567" w:hRule="exact"/>
          <w:jc w:val="center"/>
        </w:trPr>
        <w:tc>
          <w:tcPr>
            <w:tcW w:w="4201" w:type="dxa"/>
            <w:noWrap/>
            <w:vAlign w:val="center"/>
          </w:tcPr>
          <w:p w14:paraId="06336F5E">
            <w:pPr>
              <w:keepNext w:val="0"/>
              <w:keepLines w:val="0"/>
              <w:pageBreakBefore w:val="0"/>
              <w:widowControl w:val="0"/>
              <w:kinsoku/>
              <w:wordWrap/>
              <w:overflowPunct/>
              <w:topLinePunct w:val="0"/>
              <w:autoSpaceDE w:val="0"/>
              <w:autoSpaceDN w:val="0"/>
              <w:bidi w:val="0"/>
              <w:adjustRightInd w:val="0"/>
              <w:spacing w:line="360" w:lineRule="auto"/>
              <w:outlineLvl w:val="9"/>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 xml:space="preserve">地址： </w:t>
            </w:r>
          </w:p>
        </w:tc>
        <w:tc>
          <w:tcPr>
            <w:tcW w:w="4202" w:type="dxa"/>
            <w:noWrap/>
            <w:vAlign w:val="center"/>
          </w:tcPr>
          <w:p w14:paraId="424E065B">
            <w:pPr>
              <w:keepNext w:val="0"/>
              <w:keepLines w:val="0"/>
              <w:pageBreakBefore w:val="0"/>
              <w:widowControl w:val="0"/>
              <w:kinsoku/>
              <w:wordWrap/>
              <w:overflowPunct/>
              <w:topLinePunct w:val="0"/>
              <w:autoSpaceDE w:val="0"/>
              <w:autoSpaceDN w:val="0"/>
              <w:bidi w:val="0"/>
              <w:adjustRightInd w:val="0"/>
              <w:spacing w:line="360" w:lineRule="auto"/>
              <w:outlineLvl w:val="9"/>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地址：</w:t>
            </w:r>
          </w:p>
        </w:tc>
      </w:tr>
      <w:tr w14:paraId="35C5D199">
        <w:tblPrEx>
          <w:tblCellMar>
            <w:top w:w="0" w:type="dxa"/>
            <w:left w:w="108" w:type="dxa"/>
            <w:bottom w:w="0" w:type="dxa"/>
            <w:right w:w="108" w:type="dxa"/>
          </w:tblCellMar>
        </w:tblPrEx>
        <w:trPr>
          <w:trHeight w:val="567" w:hRule="exact"/>
          <w:jc w:val="center"/>
        </w:trPr>
        <w:tc>
          <w:tcPr>
            <w:tcW w:w="4201" w:type="dxa"/>
            <w:noWrap/>
            <w:vAlign w:val="center"/>
          </w:tcPr>
          <w:p w14:paraId="5444C62B">
            <w:pPr>
              <w:keepNext w:val="0"/>
              <w:keepLines w:val="0"/>
              <w:pageBreakBefore w:val="0"/>
              <w:widowControl w:val="0"/>
              <w:kinsoku/>
              <w:wordWrap/>
              <w:overflowPunct/>
              <w:topLinePunct w:val="0"/>
              <w:autoSpaceDE w:val="0"/>
              <w:autoSpaceDN w:val="0"/>
              <w:bidi w:val="0"/>
              <w:adjustRightInd w:val="0"/>
              <w:spacing w:line="360" w:lineRule="auto"/>
              <w:outlineLvl w:val="9"/>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c>
          <w:tcPr>
            <w:tcW w:w="4202" w:type="dxa"/>
            <w:noWrap/>
            <w:vAlign w:val="center"/>
          </w:tcPr>
          <w:p w14:paraId="423D61E9">
            <w:pPr>
              <w:keepNext w:val="0"/>
              <w:keepLines w:val="0"/>
              <w:pageBreakBefore w:val="0"/>
              <w:widowControl w:val="0"/>
              <w:kinsoku/>
              <w:wordWrap/>
              <w:overflowPunct/>
              <w:topLinePunct w:val="0"/>
              <w:autoSpaceDE w:val="0"/>
              <w:autoSpaceDN w:val="0"/>
              <w:bidi w:val="0"/>
              <w:adjustRightInd w:val="0"/>
              <w:spacing w:line="360" w:lineRule="auto"/>
              <w:outlineLvl w:val="9"/>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邮编：</w:t>
            </w:r>
          </w:p>
        </w:tc>
      </w:tr>
      <w:tr w14:paraId="16E2CC8B">
        <w:tblPrEx>
          <w:tblCellMar>
            <w:top w:w="0" w:type="dxa"/>
            <w:left w:w="108" w:type="dxa"/>
            <w:bottom w:w="0" w:type="dxa"/>
            <w:right w:w="108" w:type="dxa"/>
          </w:tblCellMar>
        </w:tblPrEx>
        <w:trPr>
          <w:trHeight w:val="567" w:hRule="exact"/>
          <w:jc w:val="center"/>
        </w:trPr>
        <w:tc>
          <w:tcPr>
            <w:tcW w:w="4201" w:type="dxa"/>
            <w:noWrap/>
            <w:vAlign w:val="center"/>
          </w:tcPr>
          <w:p w14:paraId="399A63A8">
            <w:pPr>
              <w:keepNext w:val="0"/>
              <w:keepLines w:val="0"/>
              <w:pageBreakBefore w:val="0"/>
              <w:widowControl w:val="0"/>
              <w:kinsoku/>
              <w:wordWrap/>
              <w:overflowPunct/>
              <w:topLinePunct w:val="0"/>
              <w:autoSpaceDE w:val="0"/>
              <w:autoSpaceDN w:val="0"/>
              <w:bidi w:val="0"/>
              <w:adjustRightInd w:val="0"/>
              <w:spacing w:line="360" w:lineRule="auto"/>
              <w:outlineLvl w:val="9"/>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 xml:space="preserve">被授权代表： </w:t>
            </w:r>
          </w:p>
        </w:tc>
        <w:tc>
          <w:tcPr>
            <w:tcW w:w="4202" w:type="dxa"/>
            <w:noWrap/>
            <w:vAlign w:val="center"/>
          </w:tcPr>
          <w:p w14:paraId="6D89A838">
            <w:pPr>
              <w:keepNext w:val="0"/>
              <w:keepLines w:val="0"/>
              <w:pageBreakBefore w:val="0"/>
              <w:widowControl w:val="0"/>
              <w:kinsoku/>
              <w:wordWrap/>
              <w:overflowPunct/>
              <w:topLinePunct w:val="0"/>
              <w:autoSpaceDE w:val="0"/>
              <w:autoSpaceDN w:val="0"/>
              <w:bidi w:val="0"/>
              <w:adjustRightInd w:val="0"/>
              <w:spacing w:line="360" w:lineRule="auto"/>
              <w:outlineLvl w:val="9"/>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法定代表人</w:t>
            </w:r>
            <w:r>
              <w:rPr>
                <w:rFonts w:hint="eastAsia" w:ascii="仿宋" w:hAnsi="仿宋" w:eastAsia="仿宋" w:cs="仿宋"/>
                <w:color w:val="auto"/>
                <w:spacing w:val="-20"/>
                <w:kern w:val="0"/>
                <w:sz w:val="24"/>
                <w:szCs w:val="24"/>
                <w:highlight w:val="none"/>
                <w:lang w:val="en-US" w:eastAsia="zh-CN"/>
              </w:rPr>
              <w:t>或</w:t>
            </w:r>
            <w:r>
              <w:rPr>
                <w:rFonts w:hint="eastAsia" w:ascii="仿宋" w:hAnsi="仿宋" w:eastAsia="仿宋" w:cs="仿宋"/>
                <w:color w:val="auto"/>
                <w:spacing w:val="-20"/>
                <w:kern w:val="0"/>
                <w:sz w:val="24"/>
                <w:szCs w:val="24"/>
                <w:highlight w:val="none"/>
              </w:rPr>
              <w:t>被授权代表：</w:t>
            </w:r>
          </w:p>
        </w:tc>
      </w:tr>
      <w:tr w14:paraId="02089DC7">
        <w:tblPrEx>
          <w:tblCellMar>
            <w:top w:w="0" w:type="dxa"/>
            <w:left w:w="108" w:type="dxa"/>
            <w:bottom w:w="0" w:type="dxa"/>
            <w:right w:w="108" w:type="dxa"/>
          </w:tblCellMar>
        </w:tblPrEx>
        <w:trPr>
          <w:trHeight w:val="567" w:hRule="exact"/>
          <w:jc w:val="center"/>
        </w:trPr>
        <w:tc>
          <w:tcPr>
            <w:tcW w:w="4201" w:type="dxa"/>
            <w:noWrap/>
            <w:vAlign w:val="center"/>
          </w:tcPr>
          <w:p w14:paraId="6822CF88">
            <w:pPr>
              <w:keepNext w:val="0"/>
              <w:keepLines w:val="0"/>
              <w:pageBreakBefore w:val="0"/>
              <w:widowControl w:val="0"/>
              <w:kinsoku/>
              <w:wordWrap/>
              <w:overflowPunct/>
              <w:topLinePunct w:val="0"/>
              <w:autoSpaceDE w:val="0"/>
              <w:autoSpaceDN w:val="0"/>
              <w:bidi w:val="0"/>
              <w:adjustRightInd w:val="0"/>
              <w:spacing w:line="360" w:lineRule="auto"/>
              <w:outlineLvl w:val="9"/>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c>
          <w:tcPr>
            <w:tcW w:w="4202" w:type="dxa"/>
            <w:noWrap/>
            <w:vAlign w:val="center"/>
          </w:tcPr>
          <w:p w14:paraId="21ADBB77">
            <w:pPr>
              <w:keepNext w:val="0"/>
              <w:keepLines w:val="0"/>
              <w:pageBreakBefore w:val="0"/>
              <w:widowControl w:val="0"/>
              <w:kinsoku/>
              <w:wordWrap/>
              <w:overflowPunct/>
              <w:topLinePunct w:val="0"/>
              <w:autoSpaceDE w:val="0"/>
              <w:autoSpaceDN w:val="0"/>
              <w:bidi w:val="0"/>
              <w:adjustRightInd w:val="0"/>
              <w:spacing w:line="360" w:lineRule="auto"/>
              <w:outlineLvl w:val="9"/>
              <w:rPr>
                <w:rFonts w:hint="eastAsia" w:ascii="仿宋" w:hAnsi="仿宋" w:eastAsia="仿宋" w:cs="仿宋"/>
                <w:color w:val="auto"/>
                <w:spacing w:val="-20"/>
                <w:kern w:val="0"/>
                <w:sz w:val="24"/>
                <w:szCs w:val="24"/>
                <w:highlight w:val="none"/>
              </w:rPr>
            </w:pPr>
            <w:r>
              <w:rPr>
                <w:rFonts w:hint="eastAsia" w:ascii="仿宋" w:hAnsi="仿宋" w:eastAsia="仿宋" w:cs="仿宋"/>
                <w:color w:val="auto"/>
                <w:spacing w:val="-20"/>
                <w:kern w:val="0"/>
                <w:sz w:val="24"/>
                <w:szCs w:val="24"/>
                <w:highlight w:val="none"/>
              </w:rPr>
              <w:t>日期：</w:t>
            </w:r>
          </w:p>
        </w:tc>
      </w:tr>
    </w:tbl>
    <w:p w14:paraId="186C9980">
      <w:pPr>
        <w:pStyle w:val="10"/>
        <w:pageBreakBefore w:val="0"/>
        <w:wordWrap/>
        <w:overflowPunct/>
        <w:topLinePunct w:val="0"/>
        <w:bidi w:val="0"/>
        <w:spacing w:line="360" w:lineRule="auto"/>
        <w:outlineLvl w:val="9"/>
        <w:rPr>
          <w:rFonts w:hint="eastAsia" w:ascii="宋体" w:hAnsi="宋体" w:cs="宋体"/>
          <w:b/>
          <w:sz w:val="44"/>
          <w:szCs w:val="44"/>
        </w:rPr>
      </w:pPr>
    </w:p>
    <w:p w14:paraId="5540C555">
      <w:pPr>
        <w:pageBreakBefore w:val="0"/>
        <w:wordWrap/>
        <w:overflowPunct/>
        <w:topLinePunct w:val="0"/>
        <w:bidi w:val="0"/>
        <w:spacing w:line="360" w:lineRule="auto"/>
        <w:outlineLvl w:val="9"/>
      </w:pPr>
    </w:p>
    <w:p w14:paraId="5F86B767"/>
    <w:sectPr>
      <w:headerReference r:id="rId3" w:type="default"/>
      <w:footerReference r:id="rId4" w:type="default"/>
      <w:pgSz w:w="11906" w:h="16838"/>
      <w:pgMar w:top="1417" w:right="1247" w:bottom="1417" w:left="124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0792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89ED70E">
                          <w:pPr>
                            <w:pStyle w:val="5"/>
                          </w:pPr>
                          <w:r>
                            <w:t xml:space="preserve">第 </w:t>
                          </w:r>
                          <w:r>
                            <w:fldChar w:fldCharType="begin"/>
                          </w:r>
                          <w:r>
                            <w:instrText xml:space="preserve"> PAGE  \* MERGEFORMAT </w:instrText>
                          </w:r>
                          <w:r>
                            <w:fldChar w:fldCharType="separate"/>
                          </w:r>
                          <w:r>
                            <w:t>106</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89ED70E">
                    <w:pPr>
                      <w:pStyle w:val="5"/>
                    </w:pPr>
                    <w:r>
                      <w:t xml:space="preserve">第 </w:t>
                    </w:r>
                    <w:r>
                      <w:fldChar w:fldCharType="begin"/>
                    </w:r>
                    <w:r>
                      <w:instrText xml:space="preserve"> PAGE  \* MERGEFORMAT </w:instrText>
                    </w:r>
                    <w:r>
                      <w:fldChar w:fldCharType="separate"/>
                    </w:r>
                    <w:r>
                      <w:t>106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C9E916">
    <w:pPr>
      <w:pStyle w:val="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80C8CC"/>
    <w:multiLevelType w:val="singleLevel"/>
    <w:tmpl w:val="A080C8CC"/>
    <w:lvl w:ilvl="0" w:tentative="0">
      <w:start w:val="8"/>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D70751"/>
    <w:rsid w:val="0E190265"/>
    <w:rsid w:val="11D70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Arial" w:hAnsi="Arial" w:eastAsia="Arial" w:cs="Arial"/>
      <w:sz w:val="21"/>
      <w:szCs w:val="21"/>
      <w:lang w:val="en-US" w:eastAsia="en-US" w:bidi="ar-SA"/>
    </w:rPr>
  </w:style>
  <w:style w:type="paragraph" w:styleId="3">
    <w:name w:val="Body Text Indent"/>
    <w:basedOn w:val="1"/>
    <w:next w:val="1"/>
    <w:qFormat/>
    <w:uiPriority w:val="0"/>
    <w:pPr>
      <w:widowControl/>
      <w:ind w:firstLine="652" w:firstLineChars="233"/>
    </w:pPr>
    <w:rPr>
      <w:rFonts w:ascii="Times New Roman"/>
      <w:sz w:val="28"/>
    </w:rPr>
  </w:style>
  <w:style w:type="paragraph" w:styleId="4">
    <w:name w:val="Plain Text"/>
    <w:basedOn w:val="1"/>
    <w:qFormat/>
    <w:uiPriority w:val="99"/>
    <w:rPr>
      <w:rFonts w:ascii="宋体" w:hAnsi="Courier New"/>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Body Text First Indent 2"/>
    <w:basedOn w:val="3"/>
    <w:next w:val="1"/>
    <w:qFormat/>
    <w:uiPriority w:val="0"/>
    <w:pPr>
      <w:widowControl w:val="0"/>
      <w:spacing w:after="120" w:line="240" w:lineRule="auto"/>
      <w:ind w:left="420" w:leftChars="200" w:firstLine="420" w:firstLineChars="200"/>
      <w:jc w:val="both"/>
    </w:pPr>
    <w:rPr>
      <w:rFonts w:ascii="Times New Roman" w:hAnsi="Times New Roman" w:eastAsia="宋体"/>
    </w:rPr>
  </w:style>
  <w:style w:type="paragraph" w:customStyle="1" w:styleId="10">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1918</Words>
  <Characters>1938</Characters>
  <Lines>0</Lines>
  <Paragraphs>0</Paragraphs>
  <TotalTime>0</TotalTime>
  <ScaleCrop>false</ScaleCrop>
  <LinksUpToDate>false</LinksUpToDate>
  <CharactersWithSpaces>2210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2026-01-19T12:15:00Z</dcterms:created>
  <dc:creator>詹振</dc:creator>
  <cp:lastModifiedBy>NANO259</cp:lastModifiedBy>
  <dcterms:modified xsi:type="dcterms:W3CDTF">2026-02-27T10:07:20Z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24E10ADEDE594A0BABFF7C1E0F609F39_11</vt:lpwstr>
  </property>
  <property fmtid="{D5CDD505-2E9C-101B-9397-08002B2CF9AE}" pid="4" name="KSOTemplateDocerSaveRecord">
    <vt:lpwstr>eyJoZGlkIjoiOTNlODE0YjMzMDE0OTA1NTUxYzk0ODBhOTU4NGEwMWYiLCJ1c2VySWQiOiIxMjI2NDQzMzM3In0=</vt:lpwstr>
  </property>
</Properties>
</file>