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版本号：慧科ZX-CG01029BF20260327001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渭北新城土地报批社会稳定风险评估项目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慧科ZX-CG01029BF</w:t>
      </w:r>
      <w:r>
        <w:br/>
      </w:r>
      <w:r>
        <w:br/>
      </w:r>
      <w:r>
        <w:br/>
      </w:r>
    </w:p>
    <w:p>
      <w:pPr>
        <w:pStyle w:val="null3"/>
        <w:jc w:val="center"/>
        <w:outlineLvl w:val="2"/>
      </w:pPr>
      <w:r>
        <w:rPr>
          <w:rFonts w:ascii="仿宋_GB2312" w:hAnsi="仿宋_GB2312" w:cs="仿宋_GB2312" w:eastAsia="仿宋_GB2312"/>
          <w:sz w:val="28"/>
          <w:b/>
        </w:rPr>
        <w:t>西安经济技术开发区渭北新城发展建设管理中心</w:t>
      </w:r>
    </w:p>
    <w:p>
      <w:pPr>
        <w:pStyle w:val="null3"/>
        <w:jc w:val="center"/>
        <w:outlineLvl w:val="2"/>
      </w:pPr>
      <w:r>
        <w:rPr>
          <w:rFonts w:ascii="仿宋_GB2312" w:hAnsi="仿宋_GB2312" w:cs="仿宋_GB2312" w:eastAsia="仿宋_GB2312"/>
          <w:sz w:val="28"/>
          <w:b/>
        </w:rPr>
        <w:t>陕西慧科工程管理咨询有限公司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陕西慧科工程管理咨询有限公司</w:t>
      </w:r>
      <w:r>
        <w:rPr>
          <w:rFonts w:ascii="仿宋_GB2312" w:hAnsi="仿宋_GB2312" w:cs="仿宋_GB2312" w:eastAsia="仿宋_GB2312"/>
        </w:rPr>
        <w:t>（以下简称“代理机构”）受</w:t>
      </w:r>
      <w:r>
        <w:rPr>
          <w:rFonts w:ascii="仿宋_GB2312" w:hAnsi="仿宋_GB2312" w:cs="仿宋_GB2312" w:eastAsia="仿宋_GB2312"/>
        </w:rPr>
        <w:t>西安经济技术开发区渭北新城发展建设管理中心</w:t>
      </w:r>
      <w:r>
        <w:rPr>
          <w:rFonts w:ascii="仿宋_GB2312" w:hAnsi="仿宋_GB2312" w:cs="仿宋_GB2312" w:eastAsia="仿宋_GB2312"/>
        </w:rPr>
        <w:t>委托，拟对</w:t>
      </w:r>
      <w:r>
        <w:rPr>
          <w:rFonts w:ascii="仿宋_GB2312" w:hAnsi="仿宋_GB2312" w:cs="仿宋_GB2312" w:eastAsia="仿宋_GB2312"/>
        </w:rPr>
        <w:t>渭北新城土地报批社会稳定风险评估项目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慧科ZX-CG01029BF</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渭北新城土地报批社会稳定风险评估项目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经济技术开发区渭北新城发展建设管理中心拟开展陕西有色、新材料、玲珑轮胎、无人机、宝光、金沙江、消费品等八个批次土地报批工作，现需委托技术服务单位开展社会稳定风险评估工作，以便下一步开展土地报批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采购包1（渭北新城土地报批社会稳定风险评估项目）：属于专门面向中小企业采购。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1、有效的主体资格证明：供应商为合法注册的法人、其他组织或自然人，提供营业执照等证明文件。</w:t>
      </w:r>
    </w:p>
    <w:p>
      <w:pPr>
        <w:pStyle w:val="null3"/>
      </w:pPr>
      <w:r>
        <w:rPr>
          <w:rFonts w:ascii="仿宋_GB2312" w:hAnsi="仿宋_GB2312" w:cs="仿宋_GB2312" w:eastAsia="仿宋_GB2312"/>
        </w:rPr>
        <w:t>2、财务状况报告（任选其一）：供应商2024年度或2025年度经审计的财务报告或磋商截止时间前三个月内其基本开户银行出具的资信证明及账户开户许可证明材料或财政部门认可的政府采购专业担保机构开具的投标担保函。</w:t>
      </w:r>
    </w:p>
    <w:p>
      <w:pPr>
        <w:pStyle w:val="null3"/>
      </w:pPr>
      <w:r>
        <w:rPr>
          <w:rFonts w:ascii="仿宋_GB2312" w:hAnsi="仿宋_GB2312" w:cs="仿宋_GB2312" w:eastAsia="仿宋_GB2312"/>
        </w:rPr>
        <w:t>3、税收缴纳证明：提供响应文件递交截止日前一年内已缴存的至少一个月的纳税证明或完税证明。依法免税的供应商应提供相关文件证明。</w:t>
      </w:r>
    </w:p>
    <w:p>
      <w:pPr>
        <w:pStyle w:val="null3"/>
      </w:pPr>
      <w:r>
        <w:rPr>
          <w:rFonts w:ascii="仿宋_GB2312" w:hAnsi="仿宋_GB2312" w:cs="仿宋_GB2312" w:eastAsia="仿宋_GB2312"/>
        </w:rPr>
        <w:t>4、社会保障资金缴纳证明：提供响应文件递交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5、专业技术能力的声明：提供具有履行本合同所必需的设备和专业技术能力的声明或承诺。</w:t>
      </w:r>
    </w:p>
    <w:p>
      <w:pPr>
        <w:pStyle w:val="null3"/>
      </w:pPr>
      <w:r>
        <w:rPr>
          <w:rFonts w:ascii="仿宋_GB2312" w:hAnsi="仿宋_GB2312" w:cs="仿宋_GB2312" w:eastAsia="仿宋_GB2312"/>
        </w:rPr>
        <w:t>6、没有重大违法记录的书面声明：提供参加政府采购活动前三年内在经营活动中没有重大违法记录的书面声明。</w:t>
      </w:r>
    </w:p>
    <w:p>
      <w:pPr>
        <w:pStyle w:val="null3"/>
      </w:pPr>
      <w:r>
        <w:rPr>
          <w:rFonts w:ascii="仿宋_GB2312" w:hAnsi="仿宋_GB2312" w:cs="仿宋_GB2312" w:eastAsia="仿宋_GB2312"/>
        </w:rPr>
        <w:t>7、供应商信用：供应商不得为“信用中国”网站(http://www.creditchina.gov.cn)列入“失信被执行人、重大税收违法失信主体”的供应商；不得为中国政府采购网(http://www.ccgp.gov.cn)“政府采购严重违法失信行为记录名单”中的供应商。（以代理机构开标当天查询结果为准）</w:t>
      </w:r>
    </w:p>
    <w:p>
      <w:pPr>
        <w:pStyle w:val="null3"/>
      </w:pPr>
      <w:r>
        <w:rPr>
          <w:rFonts w:ascii="仿宋_GB2312" w:hAnsi="仿宋_GB2312" w:cs="仿宋_GB2312" w:eastAsia="仿宋_GB2312"/>
        </w:rPr>
        <w:t>8、控股管理关系：供应商提供直接控股和管理关系说明。若与其他投标人存在单位负责人为同一人或者存在直接控股、管理关系的，则投标无效。</w:t>
      </w:r>
    </w:p>
    <w:p>
      <w:pPr>
        <w:pStyle w:val="null3"/>
      </w:pPr>
      <w:r>
        <w:rPr>
          <w:rFonts w:ascii="仿宋_GB2312" w:hAnsi="仿宋_GB2312" w:cs="仿宋_GB2312" w:eastAsia="仿宋_GB2312"/>
        </w:rPr>
        <w:t>9、法定代表人授权书：法定代表人参加投标的，须提供法人身份证明及本人身份证复印件；法定代表人授权他人参加投标的，须提供法定代表人授权委托书。采购文件中凡是需要法定代表人盖章之处，非法人单位的负责人均参照执行。（法人的分支机构参与投标时，除提供《法定代表人授权委托书》外，还须同时提供法人给分支机构出具的授权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西安经济技术开发区渭北新城发展建设管理中心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西安市临潼区秦王一路中段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029-81367053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陕西慧科工程管理咨询有限公司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陕西省西安市高新区锦业一路56号研祥城市广场C座3楼C-306号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达涛涛、孟小君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029-89384142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西安经济技术开发区政府采购管理股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邓谷元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029-86538460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采购包1：359,200.00元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代理服务费收费标准：参照原国家计委计价格〔2002〕1980号文和国家发改委发改办价格〔2003〕857号文的标准计算。成交单位在领取成交通知书时向代理机构支付代理服务费。缴纳账户如下： 开户行：陕西慧科工程管理咨询有限公司经开分公司 开户银行：平安银行西安高新支行 银行账号:15093164020022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西安经济技术开发区渭北新城发展建设管理中心</w:t>
      </w:r>
      <w:r>
        <w:rPr>
          <w:rFonts w:ascii="仿宋_GB2312" w:hAnsi="仿宋_GB2312" w:cs="仿宋_GB2312" w:eastAsia="仿宋_GB2312"/>
        </w:rPr>
        <w:t>和</w:t>
      </w:r>
      <w:r>
        <w:rPr>
          <w:rFonts w:ascii="仿宋_GB2312" w:hAnsi="仿宋_GB2312" w:cs="仿宋_GB2312" w:eastAsia="仿宋_GB2312"/>
        </w:rPr>
        <w:t>陕西慧科工程管理咨询有限公司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西安经济技术开发区渭北新城发展建设管理中心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陕西慧科工程管理咨询有限公司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西安经济技术开发区渭北新城发展建设管理中心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陕西慧科工程管理咨询有限公司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1、成果文件无缺漏、格式规范，通过技术审核； 2、服务内容与采购约定一致，满足采购需求。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联系人：达涛涛</w:t>
      </w:r>
    </w:p>
    <w:p>
      <w:pPr>
        <w:pStyle w:val="null3"/>
      </w:pPr>
      <w:r>
        <w:rPr>
          <w:rFonts w:ascii="仿宋_GB2312" w:hAnsi="仿宋_GB2312" w:cs="仿宋_GB2312" w:eastAsia="仿宋_GB2312"/>
        </w:rPr>
        <w:t>联系电话：029-89384142</w:t>
      </w:r>
    </w:p>
    <w:p>
      <w:pPr>
        <w:pStyle w:val="null3"/>
      </w:pPr>
      <w:r>
        <w:rPr>
          <w:rFonts w:ascii="仿宋_GB2312" w:hAnsi="仿宋_GB2312" w:cs="仿宋_GB2312" w:eastAsia="仿宋_GB2312"/>
        </w:rPr>
        <w:t>地址：陕西省西安市高新区锦业一路西安研祥城市广场C座3楼C－306号</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经济技术开发区渭北新城发展建设管理中心拟开展陕西有色、新材料、玲珑轮胎、无人机、宝光、金沙江、消费品等八个批次土地报批工作，现需委托技术服务单位开展社会稳定风险评估工作，以便下一步开展土地报批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359,200.00</w:t>
      </w:r>
    </w:p>
    <w:p>
      <w:pPr>
        <w:pStyle w:val="null3"/>
      </w:pPr>
      <w:r>
        <w:rPr>
          <w:rFonts w:ascii="仿宋_GB2312" w:hAnsi="仿宋_GB2312" w:cs="仿宋_GB2312" w:eastAsia="仿宋_GB2312"/>
        </w:rPr>
        <w:t>采购包最高限价（元）: 359,200.00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渭北新城土地报批社会稳定风险评估项目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359,200.00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标的名称：渭北新城土地报批社会稳定风险评估项目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b/>
              </w:rPr>
              <w:t>1、项目概况</w:t>
            </w:r>
          </w:p>
          <w:p>
            <w:pPr>
              <w:pStyle w:val="null3"/>
            </w:pPr>
            <w:r>
              <w:rPr>
                <w:rFonts w:ascii="仿宋_GB2312" w:hAnsi="仿宋_GB2312" w:cs="仿宋_GB2312" w:eastAsia="仿宋_GB2312"/>
                <w:sz w:val="18"/>
              </w:rPr>
              <w:t>西安经济技术开发区渭北新城发展建设管理中心拟开展陕西有色、新材料、玲珑轮胎、无人机、宝光、金沙江、消费品等八个批次土地报批工作，单批次报价不超过</w:t>
            </w:r>
            <w:r>
              <w:rPr>
                <w:rFonts w:ascii="仿宋_GB2312" w:hAnsi="仿宋_GB2312" w:cs="仿宋_GB2312" w:eastAsia="仿宋_GB2312"/>
                <w:sz w:val="18"/>
              </w:rPr>
              <w:t>44900.00元，现需委托技术服务单位开展社会稳定风险评估工作，以便下一步开展土地报批工作。</w:t>
            </w:r>
          </w:p>
          <w:p>
            <w:pPr>
              <w:pStyle w:val="null3"/>
            </w:pPr>
            <w:r>
              <w:rPr>
                <w:rFonts w:ascii="仿宋_GB2312" w:hAnsi="仿宋_GB2312" w:cs="仿宋_GB2312" w:eastAsia="仿宋_GB2312"/>
                <w:sz w:val="18"/>
                <w:b/>
              </w:rPr>
              <w:t>2、</w:t>
            </w:r>
            <w:r>
              <w:rPr>
                <w:rFonts w:ascii="仿宋_GB2312" w:hAnsi="仿宋_GB2312" w:cs="仿宋_GB2312" w:eastAsia="仿宋_GB2312"/>
                <w:sz w:val="18"/>
                <w:b/>
              </w:rPr>
              <w:t>服务内容</w:t>
            </w:r>
          </w:p>
          <w:p>
            <w:pPr>
              <w:pStyle w:val="null3"/>
            </w:pPr>
            <w:r>
              <w:rPr>
                <w:rFonts w:ascii="仿宋_GB2312" w:hAnsi="仿宋_GB2312" w:cs="仿宋_GB2312" w:eastAsia="仿宋_GB2312"/>
                <w:sz w:val="18"/>
              </w:rPr>
              <w:t>包括社会稳定风险评估前期工作准备、风险调查、风险识别、风险估计、风险防控及应急预案、社会稳定风险评估报告编制、成果打印审查报送等</w:t>
            </w:r>
            <w:r>
              <w:rPr>
                <w:rFonts w:ascii="仿宋_GB2312" w:hAnsi="仿宋_GB2312" w:cs="仿宋_GB2312" w:eastAsia="仿宋_GB2312"/>
                <w:sz w:val="18"/>
              </w:rPr>
              <w:t>，并通过信访维稳部门组织的专家评审及备案</w:t>
            </w:r>
            <w:r>
              <w:rPr>
                <w:rFonts w:ascii="仿宋_GB2312" w:hAnsi="仿宋_GB2312" w:cs="仿宋_GB2312" w:eastAsia="仿宋_GB2312"/>
                <w:sz w:val="18"/>
              </w:rPr>
              <w:t>。</w:t>
            </w:r>
          </w:p>
          <w:p>
            <w:pPr>
              <w:pStyle w:val="null3"/>
            </w:pPr>
            <w:r>
              <w:rPr>
                <w:rFonts w:ascii="仿宋_GB2312" w:hAnsi="仿宋_GB2312" w:cs="仿宋_GB2312" w:eastAsia="仿宋_GB2312"/>
                <w:sz w:val="18"/>
                <w:b/>
              </w:rPr>
              <w:t>3、技术要求：</w:t>
            </w:r>
          </w:p>
          <w:p>
            <w:pPr>
              <w:pStyle w:val="null3"/>
            </w:pPr>
            <w:r>
              <w:rPr>
                <w:rFonts w:ascii="仿宋_GB2312" w:hAnsi="仿宋_GB2312" w:cs="仿宋_GB2312" w:eastAsia="仿宋_GB2312"/>
                <w:sz w:val="18"/>
              </w:rPr>
              <w:t>1.进度要求：供应商应在双方协定的有效工作日内完成社会稳定风险评估报告编制工作，若遇不可抗拒因素，工期顺延。同时，供应商应制定进度保证措施。2.结合项目实际情况，从合理性、合法性、可行性、可控性等方面确保走访调查全面、准确，评估结论客观、公正。3.评估报告成果应通过专家评审，取得备案。4.供应商应根据实际情况制定质量管理体系，确保稳评报告质量合格。5.组织要求：供应商应合理安排本项目的团队组成，团队人员从业经验丰富，人员配备充足、分工明确。6.稳定风险评估报告内容应符合《关于加强新形势下重大决策社会稳定风险评估机制建设的意见》（中办发[2021]11号）及国家有关法律法规，完成委托项目的社会稳定风险评估报告编制的技术服务工作，提交的成果文件应符合西安市稳评行业规定要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人员配置合理、专业齐全、分工明确。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具有履行本合同所必需的设备。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从合同签订之日起到服务工作完结止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1、成果文件无缺漏、格式规范，通过技术审核； 2、服务内容与采购约定一致，满足采购需求。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乙方完成本项目所有内容，相关成果文件全部提交甲方且经甲方验收合格后，乙方提供等额合规的发票后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顺利推进政府采购电子化交易平台试点应用工作，供应商需要在线提交所有通过电子化交易平台实施的政府采购项目的竞争性磋商响应文件。提交二次报价，二次报价环节须将二次报价表盖章作为附件进行上传。 2.成交通知书发出后，成交供应商须向采购人提交竞争性磋商响应文件纸质版三份（纸质版响应文件与电子版响应文件保持一致）。 3.采购文件2.6.1内容为电子化交易系统采购文件模板，无法修改。根据陕西省财政厅关于持续优化政府采购营商环境有关事项的通知--陕财办采〔2024〕9 号的要求，采购人应在中标(成交)通知书发出之日起25日内，按照采购文件确定的事项与中标(成交)供应商签订政府采购合同。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供应商为合法注册的法人、其他组织或自然人，提供营业执照等证明文件。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财务状况报告（任选其一）</w:t>
            </w:r>
          </w:p>
        </w:tc>
        <w:tc>
          <w:tcPr>
            <w:tcW w:type="dxa" w:w="3322"/>
          </w:tcPr>
          <w:p>
            <w:pPr>
              <w:pStyle w:val="null3"/>
            </w:pPr>
            <w:r>
              <w:rPr>
                <w:rFonts w:ascii="仿宋_GB2312" w:hAnsi="仿宋_GB2312" w:cs="仿宋_GB2312" w:eastAsia="仿宋_GB2312"/>
              </w:rPr>
              <w:t>供应商2024年度或2025年度经审计的财务报告或磋商截止时间前三个月内其基本开户银行出具的资信证明及账户开户许可证明材料或财政部门认可的政府采购专业担保机构开具的投标担保函。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提供响应文件递交截止日前一年内已缴存的至少一个月的纳税证明或完税证明。依法免税的供应商应提供相关文件证明。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专业技术能力的声明</w:t>
            </w:r>
          </w:p>
        </w:tc>
        <w:tc>
          <w:tcPr>
            <w:tcW w:type="dxa" w:w="3322"/>
          </w:tcPr>
          <w:p>
            <w:pPr>
              <w:pStyle w:val="null3"/>
            </w:pPr>
            <w:r>
              <w:rPr>
                <w:rFonts w:ascii="仿宋_GB2312" w:hAnsi="仿宋_GB2312" w:cs="仿宋_GB2312" w:eastAsia="仿宋_GB2312"/>
              </w:rPr>
              <w:t>提供具有履行本合同所必需的设备和专业技术能力的声明或承诺。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供应商信用</w:t>
            </w:r>
          </w:p>
        </w:tc>
        <w:tc>
          <w:tcPr>
            <w:tcW w:type="dxa" w:w="3322"/>
          </w:tcPr>
          <w:p>
            <w:pPr>
              <w:pStyle w:val="null3"/>
            </w:pPr>
            <w:r>
              <w:rPr>
                <w:rFonts w:ascii="仿宋_GB2312" w:hAnsi="仿宋_GB2312" w:cs="仿宋_GB2312" w:eastAsia="仿宋_GB2312"/>
              </w:rPr>
              <w:t>供应商不得为“信用中国”网站(http://www.creditchina.gov.cn)列入“失信被执行人、重大税收违法失信主体”的供应商；不得为中国政府采购网(http://www.ccgp.gov.cn)“政府采购严重违法失信行为记录名单”中的供应商。（以代理机构开标当天查询结果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供应商提供直接控股和管理关系说明。若与其他投标人存在单位负责人为同一人或者存在直接控股、管理关系的，则投标无效。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参加投标的，须提供法人身份证明及本人身份证复印件；法定代表人授权他人参加投标的，须提供法定代表人授权委托书。采购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单价不得超过单价限价，总价不超过采购预算。</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响应文件封面 供应商应提交的相关资格证明材料.docx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响应文件封面 服务方案 服务内容及服务邀请应答表.docx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其他无效磋商的情形</w:t>
            </w:r>
          </w:p>
        </w:tc>
        <w:tc>
          <w:tcPr>
            <w:tcW w:type="dxa" w:w="3322"/>
          </w:tcPr>
          <w:p>
            <w:pPr>
              <w:pStyle w:val="null3"/>
            </w:pPr>
            <w:r>
              <w:rPr>
                <w:rFonts w:ascii="仿宋_GB2312" w:hAnsi="仿宋_GB2312" w:cs="仿宋_GB2312" w:eastAsia="仿宋_GB2312"/>
              </w:rPr>
              <w:t>没有出现法律法规或磋商文件明确规定的其他被视为“无效磋商”的情形及未实质性响应磋商文件的情况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服务方案 标的清单 报价表 服务内容及服务邀请应答表.docx 商务应答表.docx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项目理解及工作思路</w:t>
            </w:r>
          </w:p>
        </w:tc>
        <w:tc>
          <w:tcPr>
            <w:tcW w:type="dxa" w:w="2492"/>
          </w:tcPr>
          <w:p>
            <w:pPr>
              <w:pStyle w:val="null3"/>
            </w:pPr>
            <w:r>
              <w:rPr>
                <w:rFonts w:ascii="仿宋_GB2312" w:hAnsi="仿宋_GB2312" w:cs="仿宋_GB2312" w:eastAsia="仿宋_GB2312"/>
              </w:rPr>
              <w:t>供应商对本项目要求理解程度和针对本项目的工作思路和方向进行评审。 分析理解准确、全面、透彻，对本项目工作的顺利开展有指导性意义得8分； 分析理解较为准确、全面、透彻，对本项目开展有较强的指导意义得6分； 分析理解基本准确但对本项目开展有一定的指导意义得4分；分析理解不够准确，指导意义差得2分；分析理解偏离本项目需求得1分。未提供相关内容不得分。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针对本项目提供的实施方案，包括但不限于：①实地调研方案、②资料收集方案、③综合研判方案、④会议组织方案、⑤编制方案、⑥等级评价方案、⑦成果备案方案等。每个单项方案内容完整、思路明晰合理、科学、实用、针对性强得3分； 每个单项方案内容相对完整、思路相对明晰合理、科学、实用、针对性相对合理得2分； 每个单项方案内容不够完整、思路不够明晰合理、针对性相对差得1分； 未提供相关内容不得分。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确保服务质量的技术组织措施</w:t>
            </w:r>
          </w:p>
        </w:tc>
        <w:tc>
          <w:tcPr>
            <w:tcW w:type="dxa" w:w="2492"/>
          </w:tcPr>
          <w:p>
            <w:pPr>
              <w:pStyle w:val="null3"/>
            </w:pPr>
            <w:r>
              <w:rPr>
                <w:rFonts w:ascii="仿宋_GB2312" w:hAnsi="仿宋_GB2312" w:cs="仿宋_GB2312" w:eastAsia="仿宋_GB2312"/>
              </w:rPr>
              <w:t>结合本项目实际情况，供应商提供详细完整的服务质量保证措施。 措施全面、具体、可行、科学合理，得8分； 措施比较全面、具体、可行、科学合理，得6分；措施基本全面、具体、合理，得4分； 措施较为笼统，合理性差，得2分； 措施存在较多缺漏，合理性较差，得1分； 未提供相关内容不得分。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供应商针对本项目采购内容有明确的调查进度安排，合理的成果交付时限且服务计划保证措施得当。 具有科学合理明确的工作进度计划，工作进度计划与实际需求的契合度高，时间节点把控清晰明确，对工作推进指导性强，得8分； 具有科学合理工作进度计划，工作进度计划与实际需求的契合度相对较高，时间节点把控准确，对工作推进指导性强，得6分； 具有相对科学合理的工作进度计划，工作进度计划与实际需求的契合度相对合理，时间节点把控相对准确，对工作推进指导性较强，得4分； 工作进度计划不太符合实际需求，相关时间节点的把控要求不太准确，对工作推进指导性较差，得2分； 工作进度计划不符合实际需求，相关时间节点的把控要求不准确，对工作推进指导性差，得1分；未提供相关内容不得分。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拟投入本项目人员配备方案</w:t>
            </w:r>
          </w:p>
        </w:tc>
        <w:tc>
          <w:tcPr>
            <w:tcW w:type="dxa" w:w="2492"/>
          </w:tcPr>
          <w:p>
            <w:pPr>
              <w:pStyle w:val="null3"/>
            </w:pPr>
            <w:r>
              <w:rPr>
                <w:rFonts w:ascii="仿宋_GB2312" w:hAnsi="仿宋_GB2312" w:cs="仿宋_GB2312" w:eastAsia="仿宋_GB2312"/>
              </w:rPr>
              <w:t>供应商针对本项目有专项服务小组，人员配置齐全，岗位职责明确，组织架构科学，且人员都具有相关专业，并提供证明材料（包括但不限于人员学历证明、职称证书等）人员分工明确得当、职责划分均阐述全面详细，且组织机构设置科学、岗位配备齐全，证明材料齐全得8分； 人员分工较明确、职责划分均阐述较完整，组织机构设置、岗位配备、职责划分较为合理，得6分； 人员分工基本明确、职责划分均阐述完整，组织机构设置、岗位配备、职责划分基本合理，得4分； 人员分工不够明确、职责划分阐述简短，组织机构设置、岗位配备不合理，得2分；人员分工不明确、内容笼统，得1分； 未提供相关内容不得分。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工作重、难点分析及解决</w:t>
            </w:r>
          </w:p>
        </w:tc>
        <w:tc>
          <w:tcPr>
            <w:tcW w:type="dxa" w:w="2492"/>
          </w:tcPr>
          <w:p>
            <w:pPr>
              <w:pStyle w:val="null3"/>
            </w:pPr>
            <w:r>
              <w:rPr>
                <w:rFonts w:ascii="仿宋_GB2312" w:hAnsi="仿宋_GB2312" w:cs="仿宋_GB2312" w:eastAsia="仿宋_GB2312"/>
              </w:rPr>
              <w:t>供应商提供针对本项目工作重点、难点分析及解决方案，对重点、难点分析准确，解决方案针对性强的得8分； 对重点、难点分析较准确、提出的解决方案有一定的针对性和可行性的得6分； 对重点、难点分析基本准确，解决方案有一定的针对性和可行性的得4分； 对重点、难点分析与项目实际情况存在偏离，部分解决方案的可行和合理的得2分； 对重点、难点有分析不准确，解决方案合理性、可行性差的得1分； 未提供相关内容不得分。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供应商对能够完成本项目工作的服务承诺，包括不限于①方案调整、②服务保证、③工作效率、④针对本项目长期跟踪研究服务等。 每个单项方案内容完整、思路明晰合理、科学、实用、针对性强得2分； 每个单项方案内容相对完整、思路相对明晰合理、科学、实用、针对性相对合理得1分；未提供相关内容不得分。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应急处置措施</w:t>
            </w:r>
          </w:p>
        </w:tc>
        <w:tc>
          <w:tcPr>
            <w:tcW w:type="dxa" w:w="2492"/>
          </w:tcPr>
          <w:p>
            <w:pPr>
              <w:pStyle w:val="null3"/>
            </w:pPr>
            <w:r>
              <w:rPr>
                <w:rFonts w:ascii="仿宋_GB2312" w:hAnsi="仿宋_GB2312" w:cs="仿宋_GB2312" w:eastAsia="仿宋_GB2312"/>
              </w:rPr>
              <w:t>供应商根据在服务过程中可能发生的特殊情况制定具有可操作性的应急处置措施， 措施内容科学具体，有针对性强，得6分； 措施内容比较具体，针对性较强，得4分； 措施内容不够具体，得2分；措施内容有缺漏，得1分； 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供应商从本项目实际情况出发，为保证服务质量提出合理化建议。 建议清晰、合理、完整、细节考虑到位，得5分； 建议基本合理、完整性一般，得4分； 建议简单、完整性较差，得2分； 建议存在严重缺漏，不具备合理性，得1分；未提供相关内容不得分。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提供自2023年1月1日起至今类似项目业绩（时间以签订的合同日期为准），业绩以合同为准，每提供一份计2.5分,最高得10分。注：合同内容须清晰可辨认，否则视为无效合同。</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采用低价优先法计算，即满足竞争性磋商文件要求且最后磋商报价最低的磋商报价为评审基准价，其价格分为满分。其他供应商的价格分统一按照下列公式计算： 报价得分＝（评审基准价/最后磋商报价）×10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详见附件：技术服务合同文本.docx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