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版本号：SXXP-2026-01120260403001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硬件设施提升改造项目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SXXP-2026-011</w:t>
      </w:r>
      <w:r>
        <w:br/>
      </w:r>
      <w:r>
        <w:br/>
      </w:r>
      <w:r>
        <w:br/>
      </w:r>
    </w:p>
    <w:p>
      <w:pPr>
        <w:pStyle w:val="null3"/>
        <w:jc w:val="center"/>
        <w:outlineLvl w:val="2"/>
      </w:pPr>
      <w:r>
        <w:rPr>
          <w:rFonts w:ascii="仿宋_GB2312" w:hAnsi="仿宋_GB2312" w:cs="仿宋_GB2312" w:eastAsia="仿宋_GB2312"/>
          <w:sz w:val="28"/>
          <w:b/>
        </w:rPr>
        <w:t>西安市经开第五中学</w:t>
      </w:r>
    </w:p>
    <w:p>
      <w:pPr>
        <w:pStyle w:val="null3"/>
        <w:jc w:val="center"/>
        <w:outlineLvl w:val="2"/>
      </w:pPr>
      <w:r>
        <w:rPr>
          <w:rFonts w:ascii="仿宋_GB2312" w:hAnsi="仿宋_GB2312" w:cs="仿宋_GB2312" w:eastAsia="仿宋_GB2312"/>
          <w:sz w:val="28"/>
          <w:b/>
        </w:rPr>
        <w:t>陕西信鹏项目管理有限公司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陕西信鹏项目管理有限公司</w:t>
      </w:r>
      <w:r>
        <w:rPr>
          <w:rFonts w:ascii="仿宋_GB2312" w:hAnsi="仿宋_GB2312" w:cs="仿宋_GB2312" w:eastAsia="仿宋_GB2312"/>
        </w:rPr>
        <w:t>（以下简称“代理机构”）受</w:t>
      </w:r>
      <w:r>
        <w:rPr>
          <w:rFonts w:ascii="仿宋_GB2312" w:hAnsi="仿宋_GB2312" w:cs="仿宋_GB2312" w:eastAsia="仿宋_GB2312"/>
        </w:rPr>
        <w:t>西安市经开第五中学</w:t>
      </w:r>
      <w:r>
        <w:rPr>
          <w:rFonts w:ascii="仿宋_GB2312" w:hAnsi="仿宋_GB2312" w:cs="仿宋_GB2312" w:eastAsia="仿宋_GB2312"/>
        </w:rPr>
        <w:t>委托，拟对</w:t>
      </w:r>
      <w:r>
        <w:rPr>
          <w:rFonts w:ascii="仿宋_GB2312" w:hAnsi="仿宋_GB2312" w:cs="仿宋_GB2312" w:eastAsia="仿宋_GB2312"/>
        </w:rPr>
        <w:t>硬件设施提升改造项目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SXXP-2026-011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硬件设施提升改造项目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西安市经开第五中学硬件设施提升改造项目，包括校园文化建设、操场及校舍维修改造、心理健康指导中心和话剧社团建设。</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采购包1（校园文化建设）：属于专门面向中小企业采购。</w:t>
      </w:r>
    </w:p>
    <w:p>
      <w:pPr>
        <w:pStyle w:val="null3"/>
      </w:pPr>
      <w:r>
        <w:rPr>
          <w:rFonts w:ascii="仿宋_GB2312" w:hAnsi="仿宋_GB2312" w:cs="仿宋_GB2312" w:eastAsia="仿宋_GB2312"/>
        </w:rPr>
        <w:t>采购包2（操场及校舍维修改造）：属于专门面向中小企业采购。</w:t>
      </w:r>
    </w:p>
    <w:p>
      <w:pPr>
        <w:pStyle w:val="null3"/>
      </w:pPr>
      <w:r>
        <w:rPr>
          <w:rFonts w:ascii="仿宋_GB2312" w:hAnsi="仿宋_GB2312" w:cs="仿宋_GB2312" w:eastAsia="仿宋_GB2312"/>
        </w:rPr>
        <w:t>采购包3（心理健康指导中心和话剧社团建设）：属于专门面向中小企业采购。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1、营业执照：供应商为具有独立承担民事责任能力的法人或其他组织。企业法人应提供合法有效的标识有统一社会信用代码的营业执照；事业法人应提供事业单位法人证书；其他组织应提供合法登记证明文件</w:t>
      </w:r>
    </w:p>
    <w:p>
      <w:pPr>
        <w:pStyle w:val="null3"/>
      </w:pPr>
      <w:r>
        <w:rPr>
          <w:rFonts w:ascii="仿宋_GB2312" w:hAnsi="仿宋_GB2312" w:cs="仿宋_GB2312" w:eastAsia="仿宋_GB2312"/>
        </w:rPr>
        <w:t>2、财务状况报告：提供2024年或2025年经审计的财务报告或磋商前三个月内开户银行开具的资信证明</w:t>
      </w:r>
    </w:p>
    <w:p>
      <w:pPr>
        <w:pStyle w:val="null3"/>
      </w:pPr>
      <w:r>
        <w:rPr>
          <w:rFonts w:ascii="仿宋_GB2312" w:hAnsi="仿宋_GB2312" w:cs="仿宋_GB2312" w:eastAsia="仿宋_GB2312"/>
        </w:rPr>
        <w:t>3、税收缴纳证明：提供2025年6月至今已缴纳的至少一个月的纳税证明或完税证明（任意税种），依法免税的单位应提供相关证明材料</w:t>
      </w:r>
    </w:p>
    <w:p>
      <w:pPr>
        <w:pStyle w:val="null3"/>
      </w:pPr>
      <w:r>
        <w:rPr>
          <w:rFonts w:ascii="仿宋_GB2312" w:hAnsi="仿宋_GB2312" w:cs="仿宋_GB2312" w:eastAsia="仿宋_GB2312"/>
        </w:rPr>
        <w:t>4、社会保障资金缴纳证明：提供2025年6月至今已缴存的至少一个月的社会保障资金缴存单据或社保机构开具的社会保险参保缴费情况证明，依法不需要缴纳社会保障资金的单位应提供相关证明材料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5、企业资质：供应商须具备建筑装修装饰工程专业承包二级及以上资质，并具有合法有效的安全生产许可证</w:t>
      </w:r>
    </w:p>
    <w:p>
      <w:pPr>
        <w:pStyle w:val="null3"/>
      </w:pPr>
      <w:r>
        <w:rPr>
          <w:rFonts w:ascii="仿宋_GB2312" w:hAnsi="仿宋_GB2312" w:cs="仿宋_GB2312" w:eastAsia="仿宋_GB2312"/>
        </w:rPr>
        <w:t>6、拟派项目经理资质：拟派项目经理须具备建筑工程专业二级及以上注册建造师资格，并持有效的安全生产考核合格证书（B证），在本单位注册，且未担任其他在建工程项目的项目经理</w:t>
      </w:r>
    </w:p>
    <w:p>
      <w:pPr>
        <w:pStyle w:val="null3"/>
      </w:pPr>
      <w:r>
        <w:rPr>
          <w:rFonts w:ascii="仿宋_GB2312" w:hAnsi="仿宋_GB2312" w:cs="仿宋_GB2312" w:eastAsia="仿宋_GB2312"/>
        </w:rPr>
        <w:t>7、履约能力声明：提供具有履行本合同所必需的设备和专业技术能力的声明</w:t>
      </w:r>
    </w:p>
    <w:p>
      <w:pPr>
        <w:pStyle w:val="null3"/>
      </w:pPr>
      <w:r>
        <w:rPr>
          <w:rFonts w:ascii="仿宋_GB2312" w:hAnsi="仿宋_GB2312" w:cs="仿宋_GB2312" w:eastAsia="仿宋_GB2312"/>
        </w:rPr>
        <w:t>8、企业信誉：参加本次政府采购活动前3年内在经营活动中没有重大违纪，以及未被列入失信被执行人、重大税收违法失信主体、政府采购严重违法失信行为记录名单的书面声明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9、身份授权：供应商应授权合法的人员参加磋商全过程，其中法定代表人直接参加磋商的，须出具法人身份证，并与营业执照上信息一致。法定代表人授权代表参加磋商的，须出具法定代表人授权书及授权代表身份证</w:t>
      </w:r>
    </w:p>
    <w:p>
      <w:pPr>
        <w:pStyle w:val="null3"/>
      </w:pPr>
      <w:r>
        <w:rPr>
          <w:rFonts w:ascii="仿宋_GB2312" w:hAnsi="仿宋_GB2312" w:cs="仿宋_GB2312" w:eastAsia="仿宋_GB2312"/>
        </w:rPr>
        <w:t>10、关联关系：供应商单位负责人不得为同一人或者存在控股、管理关系</w:t>
      </w:r>
    </w:p>
    <w:p>
      <w:pPr>
        <w:pStyle w:val="null3"/>
      </w:pPr>
      <w:r>
        <w:rPr>
          <w:rFonts w:ascii="仿宋_GB2312" w:hAnsi="仿宋_GB2312" w:cs="仿宋_GB2312" w:eastAsia="仿宋_GB2312"/>
        </w:rPr>
        <w:t>11、中小企业声明函：本项目为专门面向中小企业项目：供应商须为中型企业或者小型、微型企业或监狱企业或残疾人福利性单位</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1、营业执照：供应商为具有独立承担民事责任能力的法人或其他组织。企业法人应提供合法有效的标识有统一社会信用代码的营业执照；事业法人应提供事业单位法人证书；其他组织应提供合法登记证明文件</w:t>
      </w:r>
    </w:p>
    <w:p>
      <w:pPr>
        <w:pStyle w:val="null3"/>
      </w:pPr>
      <w:r>
        <w:rPr>
          <w:rFonts w:ascii="仿宋_GB2312" w:hAnsi="仿宋_GB2312" w:cs="仿宋_GB2312" w:eastAsia="仿宋_GB2312"/>
        </w:rPr>
        <w:t>2、财务状况报告：提供2024年或2025年经审计的财务报告或磋商前三个月内开户银行开具的资信证明</w:t>
      </w:r>
    </w:p>
    <w:p>
      <w:pPr>
        <w:pStyle w:val="null3"/>
      </w:pPr>
      <w:r>
        <w:rPr>
          <w:rFonts w:ascii="仿宋_GB2312" w:hAnsi="仿宋_GB2312" w:cs="仿宋_GB2312" w:eastAsia="仿宋_GB2312"/>
        </w:rPr>
        <w:t>3、税收缴纳证明：提供2025年6月至今已缴纳的至少一个月的纳税证明或完税证明（任意税种），依法免税的单位应提供相关证明材料</w:t>
      </w:r>
    </w:p>
    <w:p>
      <w:pPr>
        <w:pStyle w:val="null3"/>
      </w:pPr>
      <w:r>
        <w:rPr>
          <w:rFonts w:ascii="仿宋_GB2312" w:hAnsi="仿宋_GB2312" w:cs="仿宋_GB2312" w:eastAsia="仿宋_GB2312"/>
        </w:rPr>
        <w:t>4、社会保障资金缴纳证明：提供2025年6月至今已缴存的至少一个月的社会保障资金缴存单据或社保机构开具的社会保险参保缴费情况证明，依法不需要缴纳社会保障资金的单位应提供相关证明材料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5、企业资质：供应商须具备建设行政主管部门颁发的建筑工程施工总承包三级及以上资质，并具有合法有效的安全生产许可证</w:t>
      </w:r>
    </w:p>
    <w:p>
      <w:pPr>
        <w:pStyle w:val="null3"/>
      </w:pPr>
      <w:r>
        <w:rPr>
          <w:rFonts w:ascii="仿宋_GB2312" w:hAnsi="仿宋_GB2312" w:cs="仿宋_GB2312" w:eastAsia="仿宋_GB2312"/>
        </w:rPr>
        <w:t>6、拟派项目经理资质：拟派项目经理须具备建筑工程专业二级及以上注册建造师资格，并持有效的安全生产考核合格证书（B证），在本单位注册，且未担任其他在建工程项目的项目经理</w:t>
      </w:r>
    </w:p>
    <w:p>
      <w:pPr>
        <w:pStyle w:val="null3"/>
      </w:pPr>
      <w:r>
        <w:rPr>
          <w:rFonts w:ascii="仿宋_GB2312" w:hAnsi="仿宋_GB2312" w:cs="仿宋_GB2312" w:eastAsia="仿宋_GB2312"/>
        </w:rPr>
        <w:t>7、履约能力声明：提供具有履行本合同所必需的设备和专业技术能力的声明</w:t>
      </w:r>
    </w:p>
    <w:p>
      <w:pPr>
        <w:pStyle w:val="null3"/>
      </w:pPr>
      <w:r>
        <w:rPr>
          <w:rFonts w:ascii="仿宋_GB2312" w:hAnsi="仿宋_GB2312" w:cs="仿宋_GB2312" w:eastAsia="仿宋_GB2312"/>
        </w:rPr>
        <w:t>8、企业信誉：参加本次政府采购活动前3年内在经营活动中没有重大违纪，以及未被列入失信被执行人、重大税收违法失信主体、政府采购严重违法失信行为记录名单的书面声明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9、身份授权：供应商应授权合法的人员参加磋商全过程，其中法定代表人直接参加磋商的，须出具法人身份证，并与营业执照上信息一致。法定代表人授权代表参加磋商的，须出具法定代表人授权书及授权代表身份证</w:t>
      </w:r>
    </w:p>
    <w:p>
      <w:pPr>
        <w:pStyle w:val="null3"/>
      </w:pPr>
      <w:r>
        <w:rPr>
          <w:rFonts w:ascii="仿宋_GB2312" w:hAnsi="仿宋_GB2312" w:cs="仿宋_GB2312" w:eastAsia="仿宋_GB2312"/>
        </w:rPr>
        <w:t>10、关联关系：供应商单位负责人不得为同一人或者存在控股、管理关系</w:t>
      </w:r>
    </w:p>
    <w:p>
      <w:pPr>
        <w:pStyle w:val="null3"/>
      </w:pPr>
      <w:r>
        <w:rPr>
          <w:rFonts w:ascii="仿宋_GB2312" w:hAnsi="仿宋_GB2312" w:cs="仿宋_GB2312" w:eastAsia="仿宋_GB2312"/>
        </w:rPr>
        <w:t>11、中小企业声明函：本项目为专门面向中小企业项目：供应商须为中型企业或者小型、微型企业或监狱企业或残疾人福利性单位</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1、营业执照：供应商为具有独立承担民事责任能力的法人或其他组织。企业法人应提供合法有效的标识有统一社会信用代码的营业执照；事业法人应提供事业单位法人证书；其他组织应提供合法登记证明文件</w:t>
      </w:r>
    </w:p>
    <w:p>
      <w:pPr>
        <w:pStyle w:val="null3"/>
      </w:pPr>
      <w:r>
        <w:rPr>
          <w:rFonts w:ascii="仿宋_GB2312" w:hAnsi="仿宋_GB2312" w:cs="仿宋_GB2312" w:eastAsia="仿宋_GB2312"/>
        </w:rPr>
        <w:t>2、财务状况报告：提供2024年或2025年经审计的财务报告或磋商前三个月内开户银行开具的资信证明</w:t>
      </w:r>
    </w:p>
    <w:p>
      <w:pPr>
        <w:pStyle w:val="null3"/>
      </w:pPr>
      <w:r>
        <w:rPr>
          <w:rFonts w:ascii="仿宋_GB2312" w:hAnsi="仿宋_GB2312" w:cs="仿宋_GB2312" w:eastAsia="仿宋_GB2312"/>
        </w:rPr>
        <w:t>3、税收缴纳证明：提供2025年6月至今已缴纳的至少一个月的纳税证明或完税证明（任意税种），依法免税的单位应提供相关证明材料</w:t>
      </w:r>
    </w:p>
    <w:p>
      <w:pPr>
        <w:pStyle w:val="null3"/>
      </w:pPr>
      <w:r>
        <w:rPr>
          <w:rFonts w:ascii="仿宋_GB2312" w:hAnsi="仿宋_GB2312" w:cs="仿宋_GB2312" w:eastAsia="仿宋_GB2312"/>
        </w:rPr>
        <w:t>4、社会保障资金缴纳证明：提供2025年6月至今已缴存的至少一个月的社会保障资金缴存单据或社保机构开具的社会保险参保缴费情况证明，依法不需要缴纳社会保障资金的单位应提供相关证明材料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5、企业资质：供应商须具备建筑装修装饰工程专业承包二级及以上资质，并具有合法有效的安全生产许可证</w:t>
      </w:r>
    </w:p>
    <w:p>
      <w:pPr>
        <w:pStyle w:val="null3"/>
      </w:pPr>
      <w:r>
        <w:rPr>
          <w:rFonts w:ascii="仿宋_GB2312" w:hAnsi="仿宋_GB2312" w:cs="仿宋_GB2312" w:eastAsia="仿宋_GB2312"/>
        </w:rPr>
        <w:t>6、拟派项目经理资质：拟派项目经理须具备建筑工程专业二级及以上注册建造师资格，并持有效的安全生产考核合格证书（B证），在本单位注册，且未担任其他在建工程项目的项目经理</w:t>
      </w:r>
    </w:p>
    <w:p>
      <w:pPr>
        <w:pStyle w:val="null3"/>
      </w:pPr>
      <w:r>
        <w:rPr>
          <w:rFonts w:ascii="仿宋_GB2312" w:hAnsi="仿宋_GB2312" w:cs="仿宋_GB2312" w:eastAsia="仿宋_GB2312"/>
        </w:rPr>
        <w:t>7、履约能力声明：提供具有履行本合同所必需的设备和专业技术能力的声明</w:t>
      </w:r>
    </w:p>
    <w:p>
      <w:pPr>
        <w:pStyle w:val="null3"/>
      </w:pPr>
      <w:r>
        <w:rPr>
          <w:rFonts w:ascii="仿宋_GB2312" w:hAnsi="仿宋_GB2312" w:cs="仿宋_GB2312" w:eastAsia="仿宋_GB2312"/>
        </w:rPr>
        <w:t>8、企业信誉：参加本次政府采购活动前3年内在经营活动中没有重大违纪，以及未被列入失信被执行人、重大税收违法失信主体、政府采购严重违法失信行为记录名单的书面声明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9、身份授权：供应商应授权合法的人员参加磋商全过程，其中法定代表人直接参加磋商的，须出具法人身份证，并与营业执照上信息一致。法定代表人授权代表参加磋商的，须出具法定代表人授权书及授权代表身份证</w:t>
      </w:r>
    </w:p>
    <w:p>
      <w:pPr>
        <w:pStyle w:val="null3"/>
      </w:pPr>
      <w:r>
        <w:rPr>
          <w:rFonts w:ascii="仿宋_GB2312" w:hAnsi="仿宋_GB2312" w:cs="仿宋_GB2312" w:eastAsia="仿宋_GB2312"/>
        </w:rPr>
        <w:t>10、关联关系：供应商单位负责人不得为同一人或者存在控股、管理关系</w:t>
      </w:r>
    </w:p>
    <w:p>
      <w:pPr>
        <w:pStyle w:val="null3"/>
      </w:pPr>
      <w:r>
        <w:rPr>
          <w:rFonts w:ascii="仿宋_GB2312" w:hAnsi="仿宋_GB2312" w:cs="仿宋_GB2312" w:eastAsia="仿宋_GB2312"/>
        </w:rPr>
        <w:t>11、中小企业声明函：本项目为专门面向中小企业项目：供应商须为中型企业或者小型、微型企业或监狱企业或残疾人福利性单位</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西安市经开第五中学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西安市未央区凤城四路97号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李宏伟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17795938969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陕西信鹏项目管理有限公司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陕西省西安市经济技术开发区凤城十二路凯瑞B座1单元9层A0906号房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孙媛春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13572959164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西安经济技术开发区政府采购管理股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邓谷元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86538460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采购包1：364,303.65元</w:t>
            </w:r>
          </w:p>
          <w:p>
            <w:pPr>
              <w:pStyle w:val="null3"/>
            </w:pPr>
            <w:r>
              <w:rPr>
                <w:rFonts w:ascii="仿宋_GB2312" w:hAnsi="仿宋_GB2312" w:cs="仿宋_GB2312" w:eastAsia="仿宋_GB2312"/>
              </w:rPr>
              <w:t>采购包2：2,827,556.27元</w:t>
            </w:r>
          </w:p>
          <w:p>
            <w:pPr>
              <w:pStyle w:val="null3"/>
            </w:pPr>
            <w:r>
              <w:rPr>
                <w:rFonts w:ascii="仿宋_GB2312" w:hAnsi="仿宋_GB2312" w:cs="仿宋_GB2312" w:eastAsia="仿宋_GB2312"/>
              </w:rPr>
              <w:t>采购包3：165,960.68元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招标代理服务收费管理暂行办法》的通知（计价格〔2002〕1980号）文件、国家发展和改革委员会办公厅印发的《关于招标代理服务收费有关问题的通知》（发改办价格〔2003〕857号）、国家发展改革委印发的《关于进一步放开建设项目专业服务价格的通知》（发改价格〔2015〕299号）的有关规定标准执行。</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西安市经开第五中学</w:t>
      </w:r>
      <w:r>
        <w:rPr>
          <w:rFonts w:ascii="仿宋_GB2312" w:hAnsi="仿宋_GB2312" w:cs="仿宋_GB2312" w:eastAsia="仿宋_GB2312"/>
        </w:rPr>
        <w:t>和</w:t>
      </w:r>
      <w:r>
        <w:rPr>
          <w:rFonts w:ascii="仿宋_GB2312" w:hAnsi="仿宋_GB2312" w:cs="仿宋_GB2312" w:eastAsia="仿宋_GB2312"/>
        </w:rPr>
        <w:t>陕西信鹏项目管理有限公司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西安市经开第五中学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陕西信鹏项目管理有限公司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西安市经开第五中学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陕西信鹏项目管理有限公司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pPr>
      <w:r>
        <w:rPr>
          <w:rFonts w:ascii="仿宋_GB2312" w:hAnsi="仿宋_GB2312" w:cs="仿宋_GB2312" w:eastAsia="仿宋_GB2312"/>
        </w:rPr>
        <w:t>采购包2：项目包干价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pPr>
      <w:r>
        <w:rPr>
          <w:rFonts w:ascii="仿宋_GB2312" w:hAnsi="仿宋_GB2312" w:cs="仿宋_GB2312" w:eastAsia="仿宋_GB2312"/>
        </w:rPr>
        <w:t>采购包3：项目包干价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达到行业及国家现行施工验收规范“合格”标准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达到行业及国家现行施工验收规范“合格”标准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达到行业及国家现行施工验收规范“合格”标准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陕西信鹏项目管理有限公司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陕西信鹏项目管理有限公司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陕西信鹏项目管理有限公司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联系人：孙媛春</w:t>
      </w:r>
    </w:p>
    <w:p>
      <w:pPr>
        <w:pStyle w:val="null3"/>
      </w:pPr>
      <w:r>
        <w:rPr>
          <w:rFonts w:ascii="仿宋_GB2312" w:hAnsi="仿宋_GB2312" w:cs="仿宋_GB2312" w:eastAsia="仿宋_GB2312"/>
        </w:rPr>
        <w:t>联系电话：13572959164</w:t>
      </w:r>
    </w:p>
    <w:p>
      <w:pPr>
        <w:pStyle w:val="null3"/>
      </w:pPr>
      <w:r>
        <w:rPr>
          <w:rFonts w:ascii="仿宋_GB2312" w:hAnsi="仿宋_GB2312" w:cs="仿宋_GB2312" w:eastAsia="仿宋_GB2312"/>
        </w:rPr>
        <w:t>地址：陕西省西安市经济技术开发区凤城十二路凯瑞B座1单元9层A0906号房</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364,303.65</w:t>
      </w:r>
    </w:p>
    <w:p>
      <w:pPr>
        <w:pStyle w:val="null3"/>
      </w:pPr>
      <w:r>
        <w:rPr>
          <w:rFonts w:ascii="仿宋_GB2312" w:hAnsi="仿宋_GB2312" w:cs="仿宋_GB2312" w:eastAsia="仿宋_GB2312"/>
        </w:rPr>
        <w:t>采购包最高限价（元）: 364,303.65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校园文化建设</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364,303.65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2,827,556.27</w:t>
      </w:r>
    </w:p>
    <w:p>
      <w:pPr>
        <w:pStyle w:val="null3"/>
      </w:pPr>
      <w:r>
        <w:rPr>
          <w:rFonts w:ascii="仿宋_GB2312" w:hAnsi="仿宋_GB2312" w:cs="仿宋_GB2312" w:eastAsia="仿宋_GB2312"/>
        </w:rPr>
        <w:t>采购包最高限价（元）: 2,827,556.27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操场及校舍维修改造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2,827,556.27</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165,960.68</w:t>
      </w:r>
    </w:p>
    <w:p>
      <w:pPr>
        <w:pStyle w:val="null3"/>
      </w:pPr>
      <w:r>
        <w:rPr>
          <w:rFonts w:ascii="仿宋_GB2312" w:hAnsi="仿宋_GB2312" w:cs="仿宋_GB2312" w:eastAsia="仿宋_GB2312"/>
        </w:rPr>
        <w:t>采购包最高限价（元）: 165,960.68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心理健康指导中心和话剧社团建设</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165,960.68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标的名称：校园文化建设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详见工程量清单，图纸与工程量清单不一致时以</w:t>
            </w:r>
            <w:r>
              <w:rPr>
                <w:rFonts w:ascii="仿宋_GB2312" w:hAnsi="仿宋_GB2312" w:cs="仿宋_GB2312" w:eastAsia="仿宋_GB2312"/>
                <w:sz w:val="24"/>
              </w:rPr>
              <w:t>工程量清单</w:t>
            </w:r>
            <w:r>
              <w:rPr>
                <w:rFonts w:ascii="仿宋_GB2312" w:hAnsi="仿宋_GB2312" w:cs="仿宋_GB2312" w:eastAsia="仿宋_GB2312"/>
                <w:sz w:val="24"/>
              </w:rPr>
              <w:t>为准。</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标的名称：操场及校舍维修改造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详见工程量清单，图纸与工程量清单不一致时以</w:t>
            </w:r>
            <w:r>
              <w:rPr>
                <w:rFonts w:ascii="仿宋_GB2312" w:hAnsi="仿宋_GB2312" w:cs="仿宋_GB2312" w:eastAsia="仿宋_GB2312"/>
                <w:sz w:val="24"/>
              </w:rPr>
              <w:t>工程量清单</w:t>
            </w:r>
            <w:r>
              <w:rPr>
                <w:rFonts w:ascii="仿宋_GB2312" w:hAnsi="仿宋_GB2312" w:cs="仿宋_GB2312" w:eastAsia="仿宋_GB2312"/>
                <w:sz w:val="24"/>
              </w:rPr>
              <w:t>为准。</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标的名称：心理健康指导中心和话剧社团建设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详见工程量清单，图纸与工程量清单不一致时以</w:t>
            </w:r>
            <w:r>
              <w:rPr>
                <w:rFonts w:ascii="仿宋_GB2312" w:hAnsi="仿宋_GB2312" w:cs="仿宋_GB2312" w:eastAsia="仿宋_GB2312"/>
                <w:sz w:val="24"/>
              </w:rPr>
              <w:t>工程量清单</w:t>
            </w:r>
            <w:r>
              <w:rPr>
                <w:rFonts w:ascii="仿宋_GB2312" w:hAnsi="仿宋_GB2312" w:cs="仿宋_GB2312" w:eastAsia="仿宋_GB2312"/>
                <w:sz w:val="24"/>
              </w:rPr>
              <w:t>为准。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达到行业及国家现行施工验收规范“合格”标准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达到行业及国家现行施工验收规范“合格”标准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达到行业及国家现行施工验收规范“合格”标准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通过电子化交易系统协商，供应商需在电子化交易系统上传响应的文件。成交供应商领取中标（成交）通知书时，向采购代理机构提供一正两副纸质投标文件及电子版1份（签字盖章扫描PDF和word文档格式，U盘存储）。2.供应商应自响应文件递交截止时间起至开标结束，保持在线状态。3.质量保修期：验收合格后2年。4.本项目合同计价方式为固定总价合同，供应商的报价应包含完成该项目工作所发生的全部费用以及供应商企业利润、税金和政策性文件规定及合同包含的所有风险、责任等一切费用；供应商必须对所投项目全部内容进行完整报价，并列出明细及价格组成。采购人不接受（将拒绝）只对项目部分内容进行报价的投标。5.工期：合同包1：合同签订后30日历天；合同包2：合同签订后50日历天；合同包3：合同签订后15日历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提供2024年或2025年经审计的财务报告或磋商前三个月内开户银行开具的资信证明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提供2024年或2025年经审计的财务报告或磋商前三个月内开户银行开具的资信证明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提供2024年或2025年经审计的财务报告或磋商前三个月内开户银行开具的资信证明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供应商为具有独立承担民事责任能力的法人或其他组织。企业法人应提供合法有效的标识有统一社会信用代码的营业执照；事业法人应提供事业单位法人证书；其他组织应提供合法登记证明文件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提供2024年或2025年经审计的财务报告或磋商前三个月内开户银行开具的资信证明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供应商须具备建筑装修装饰工程专业承包二级及以上资质，并具有合法有效的安全生产许可证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拟派项目经理资质</w:t>
            </w:r>
          </w:p>
        </w:tc>
        <w:tc>
          <w:tcPr>
            <w:tcW w:type="dxa" w:w="3322"/>
          </w:tcPr>
          <w:p>
            <w:pPr>
              <w:pStyle w:val="null3"/>
            </w:pPr>
            <w:r>
              <w:rPr>
                <w:rFonts w:ascii="仿宋_GB2312" w:hAnsi="仿宋_GB2312" w:cs="仿宋_GB2312" w:eastAsia="仿宋_GB2312"/>
              </w:rPr>
              <w:t>拟派项目经理须具备建筑工程专业二级及以上注册建造师资格，并持有效的安全生产考核合格证书（B证），在本单位注册，且未担任其他在建工程项目的项目经理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身份授权</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供应商应授权合法的人员参加磋商全过程，其中法定代表人直接参加磋商的，须出具法人身份证，并与营业执照上信息一致。法定代表人授权代表参加磋商的，须出具法定代表人授权书及授权代表身份证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供应商单位负责人不得为同一人或者存在控股、管理关系</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本项目为专门面向中小企业项目：供应商须为中型企业或者小型、微型企业或监狱企业或残疾人福利性单位</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供应商为具有独立承担民事责任能力的法人或其他组织。企业法人应提供合法有效的标识有统一社会信用代码的营业执照；事业法人应提供事业单位法人证书；其他组织应提供合法登记证明文件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提供2024年或2025年经审计的财务报告或磋商前三个月内开户银行开具的资信证明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供应商须具备建设行政主管部门颁发的建筑工程施工总承包三级及以上资质，并具有合法有效的安全生产许可证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拟派项目经理资质</w:t>
            </w:r>
          </w:p>
        </w:tc>
        <w:tc>
          <w:tcPr>
            <w:tcW w:type="dxa" w:w="3322"/>
          </w:tcPr>
          <w:p>
            <w:pPr>
              <w:pStyle w:val="null3"/>
            </w:pPr>
            <w:r>
              <w:rPr>
                <w:rFonts w:ascii="仿宋_GB2312" w:hAnsi="仿宋_GB2312" w:cs="仿宋_GB2312" w:eastAsia="仿宋_GB2312"/>
              </w:rPr>
              <w:t>拟派项目经理须具备建筑工程专业二级及以上注册建造师资格，并持有效的安全生产考核合格证书（B证），在本单位注册，且未担任其他在建工程项目的项目经理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身份授权</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供应商应授权合法的人员参加磋商全过程，其中法定代表人直接参加磋商的，须出具法人身份证，并与营业执照上信息一致。法定代表人授权代表参加磋商的，须出具法定代表人授权书及授权代表身份证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供应商单位负责人不得为同一人或者存在控股、管理关系</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本项目为专门面向中小企业项目：供应商须为中型企业或者小型、微型企业或监狱企业或残疾人福利性单位</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供应商为具有独立承担民事责任能力的法人或其他组织。企业法人应提供合法有效的标识有统一社会信用代码的营业执照；事业法人应提供事业单位法人证书；其他组织应提供合法登记证明文件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提供2024年或2025年经审计的财务报告或磋商前三个月内开户银行开具的资信证明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供应商须具备建筑装修装饰工程专业承包二级及以上资质，并具有合法有效的安全生产许可证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拟派项目经理资质</w:t>
            </w:r>
          </w:p>
        </w:tc>
        <w:tc>
          <w:tcPr>
            <w:tcW w:type="dxa" w:w="3322"/>
          </w:tcPr>
          <w:p>
            <w:pPr>
              <w:pStyle w:val="null3"/>
            </w:pPr>
            <w:r>
              <w:rPr>
                <w:rFonts w:ascii="仿宋_GB2312" w:hAnsi="仿宋_GB2312" w:cs="仿宋_GB2312" w:eastAsia="仿宋_GB2312"/>
              </w:rPr>
              <w:t>拟派项目经理须具备建筑工程专业二级及以上注册建造师资格，并持有效的安全生产考核合格证书（B证），在本单位注册，且未担任其他在建工程项目的项目经理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身份授权</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供应商应授权合法的人员参加磋商全过程，其中法定代表人直接参加磋商的，须出具法人身份证，并与营业执照上信息一致。法定代表人授权代表参加磋商的，须出具法定代表人授权书及授权代表身份证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供应商单位负责人不得为同一人或者存在控股、管理关系</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本项目为专门面向中小企业项目：供应商须为中型企业或者小型、微型企业或监狱企业或残疾人福利性单位</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按照《关于推动解决政府采购异常低价问题的通知》(财库〔2026〕2号)规定，出现下列情形之一的，评审委员会应当启动异常低价投标（响应）审查程序：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在响应文件中指定落款处，按文件要求盖章或签字</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符合磋商文件的格式要求无重大偏离</w:t>
            </w:r>
          </w:p>
        </w:tc>
        <w:tc>
          <w:tcPr>
            <w:tcW w:type="dxa" w:w="1661"/>
          </w:tcPr>
          <w:p>
            <w:pPr>
              <w:pStyle w:val="null3"/>
            </w:pPr>
            <w:r>
              <w:rPr>
                <w:rFonts w:ascii="仿宋_GB2312" w:hAnsi="仿宋_GB2312" w:cs="仿宋_GB2312" w:eastAsia="仿宋_GB2312"/>
              </w:rPr>
              <w:t>响应文件封面 分项报价表（最终报价）.docx 陕西省政府采购供应商拒绝政府采购领域商业贿赂承诺书.docx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响应（投标）内容</w:t>
            </w:r>
          </w:p>
        </w:tc>
        <w:tc>
          <w:tcPr>
            <w:tcW w:type="dxa" w:w="3322"/>
          </w:tcPr>
          <w:p>
            <w:pPr>
              <w:pStyle w:val="null3"/>
            </w:pPr>
            <w:r>
              <w:rPr>
                <w:rFonts w:ascii="仿宋_GB2312" w:hAnsi="仿宋_GB2312" w:cs="仿宋_GB2312" w:eastAsia="仿宋_GB2312"/>
              </w:rPr>
              <w:t>与磋商内容一致，无重大偏离</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自磋商响应文件递交之日起不少于90个日历天</w:t>
            </w:r>
          </w:p>
        </w:tc>
        <w:tc>
          <w:tcPr>
            <w:tcW w:type="dxa" w:w="1661"/>
          </w:tcPr>
          <w:p>
            <w:pPr>
              <w:pStyle w:val="null3"/>
            </w:pPr>
            <w:r>
              <w:rPr>
                <w:rFonts w:ascii="仿宋_GB2312" w:hAnsi="仿宋_GB2312" w:cs="仿宋_GB2312" w:eastAsia="仿宋_GB2312"/>
              </w:rPr>
              <w:t>报价函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未超过磋商最高限价</w:t>
            </w:r>
          </w:p>
        </w:tc>
        <w:tc>
          <w:tcPr>
            <w:tcW w:type="dxa" w:w="1661"/>
          </w:tcPr>
          <w:p>
            <w:pPr>
              <w:pStyle w:val="null3"/>
            </w:pPr>
            <w:r>
              <w:rPr>
                <w:rFonts w:ascii="仿宋_GB2312" w:hAnsi="仿宋_GB2312" w:cs="仿宋_GB2312" w:eastAsia="仿宋_GB2312"/>
              </w:rPr>
              <w:t>已标价工程量清单 分项报价表（最终报价）.docx 报价函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分项报价表（最终报价）.docx 标的清单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质量保修期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分项报价表（最终报价）.docx 标的清单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按照《关于推动解决政府采购异常低价问题的通知》(财库〔2026〕2号)规定，出现下列情形之一的，评审委员会应当启动异常低价投标（响应）审查程序：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在响应文件中指定落款处，按文件要求盖章或签字</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符合磋商文件的格式要求无重大偏离</w:t>
            </w:r>
          </w:p>
        </w:tc>
        <w:tc>
          <w:tcPr>
            <w:tcW w:type="dxa" w:w="1661"/>
          </w:tcPr>
          <w:p>
            <w:pPr>
              <w:pStyle w:val="null3"/>
            </w:pPr>
            <w:r>
              <w:rPr>
                <w:rFonts w:ascii="仿宋_GB2312" w:hAnsi="仿宋_GB2312" w:cs="仿宋_GB2312" w:eastAsia="仿宋_GB2312"/>
              </w:rPr>
              <w:t>响应文件封面 陕西省政府采购供应商拒绝政府采购领域商业贿赂承诺书.docx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响应（投标）内容</w:t>
            </w:r>
          </w:p>
        </w:tc>
        <w:tc>
          <w:tcPr>
            <w:tcW w:type="dxa" w:w="3322"/>
          </w:tcPr>
          <w:p>
            <w:pPr>
              <w:pStyle w:val="null3"/>
            </w:pPr>
            <w:r>
              <w:rPr>
                <w:rFonts w:ascii="仿宋_GB2312" w:hAnsi="仿宋_GB2312" w:cs="仿宋_GB2312" w:eastAsia="仿宋_GB2312"/>
              </w:rPr>
              <w:t>与磋商内容一致，无重大偏离</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自磋商响应文件递交之日起不少于90个日历天</w:t>
            </w:r>
          </w:p>
        </w:tc>
        <w:tc>
          <w:tcPr>
            <w:tcW w:type="dxa" w:w="1661"/>
          </w:tcPr>
          <w:p>
            <w:pPr>
              <w:pStyle w:val="null3"/>
            </w:pPr>
            <w:r>
              <w:rPr>
                <w:rFonts w:ascii="仿宋_GB2312" w:hAnsi="仿宋_GB2312" w:cs="仿宋_GB2312" w:eastAsia="仿宋_GB2312"/>
              </w:rPr>
              <w:t>报价函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未超过磋商最高限价</w:t>
            </w:r>
          </w:p>
        </w:tc>
        <w:tc>
          <w:tcPr>
            <w:tcW w:type="dxa" w:w="1661"/>
          </w:tcPr>
          <w:p>
            <w:pPr>
              <w:pStyle w:val="null3"/>
            </w:pPr>
            <w:r>
              <w:rPr>
                <w:rFonts w:ascii="仿宋_GB2312" w:hAnsi="仿宋_GB2312" w:cs="仿宋_GB2312" w:eastAsia="仿宋_GB2312"/>
              </w:rPr>
              <w:t>已标价工程量清单 分项报价表（最终报价）.docx 报价函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分项报价表（最终报价）.docx 标的清单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质量保修期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分项报价表（最终报价）.docx 标的清单 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按照《关于推动解决政府采购异常低价问题的通知》(财库〔2026〕2号)规定，出现下列情形之一的，评审委员会应当启动异常低价投标（响应）审查程序：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在响应文件中指定落款处，按文件要求盖章或签字</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符合磋商文件的格式要求无重大偏离</w:t>
            </w:r>
          </w:p>
        </w:tc>
        <w:tc>
          <w:tcPr>
            <w:tcW w:type="dxa" w:w="1661"/>
          </w:tcPr>
          <w:p>
            <w:pPr>
              <w:pStyle w:val="null3"/>
            </w:pPr>
            <w:r>
              <w:rPr>
                <w:rFonts w:ascii="仿宋_GB2312" w:hAnsi="仿宋_GB2312" w:cs="仿宋_GB2312" w:eastAsia="仿宋_GB2312"/>
              </w:rPr>
              <w:t>响应文件封面 陕西省政府采购供应商拒绝政府采购领域商业贿赂承诺书.docx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响应（投标）内容</w:t>
            </w:r>
          </w:p>
        </w:tc>
        <w:tc>
          <w:tcPr>
            <w:tcW w:type="dxa" w:w="3322"/>
          </w:tcPr>
          <w:p>
            <w:pPr>
              <w:pStyle w:val="null3"/>
            </w:pPr>
            <w:r>
              <w:rPr>
                <w:rFonts w:ascii="仿宋_GB2312" w:hAnsi="仿宋_GB2312" w:cs="仿宋_GB2312" w:eastAsia="仿宋_GB2312"/>
              </w:rPr>
              <w:t>与磋商内容一致，无重大偏离</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自磋商响应文件递交之日起不少于90个日历天</w:t>
            </w:r>
          </w:p>
        </w:tc>
        <w:tc>
          <w:tcPr>
            <w:tcW w:type="dxa" w:w="1661"/>
          </w:tcPr>
          <w:p>
            <w:pPr>
              <w:pStyle w:val="null3"/>
            </w:pPr>
            <w:r>
              <w:rPr>
                <w:rFonts w:ascii="仿宋_GB2312" w:hAnsi="仿宋_GB2312" w:cs="仿宋_GB2312" w:eastAsia="仿宋_GB2312"/>
              </w:rPr>
              <w:t>报价函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未超过磋商最高限价</w:t>
            </w:r>
          </w:p>
        </w:tc>
        <w:tc>
          <w:tcPr>
            <w:tcW w:type="dxa" w:w="1661"/>
          </w:tcPr>
          <w:p>
            <w:pPr>
              <w:pStyle w:val="null3"/>
            </w:pPr>
            <w:r>
              <w:rPr>
                <w:rFonts w:ascii="仿宋_GB2312" w:hAnsi="仿宋_GB2312" w:cs="仿宋_GB2312" w:eastAsia="仿宋_GB2312"/>
              </w:rPr>
              <w:t>已标价工程量清单 分项报价表（最终报价）.docx 报价函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分项报价表（最终报价）.docx 标的清单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质量保修期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分项报价表（最终报价）.docx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项目管理机构及项目经理部组成</w:t>
            </w:r>
          </w:p>
        </w:tc>
        <w:tc>
          <w:tcPr>
            <w:tcW w:type="dxa" w:w="2492"/>
          </w:tcPr>
          <w:p>
            <w:pPr>
              <w:pStyle w:val="null3"/>
            </w:pPr>
            <w:r>
              <w:rPr>
                <w:rFonts w:ascii="仿宋_GB2312" w:hAnsi="仿宋_GB2312" w:cs="仿宋_GB2312" w:eastAsia="仿宋_GB2312"/>
              </w:rPr>
              <w:t>人员配备合理、分工明确、管理制度完善，赋6分； 人员配备分工较为明确、管理制度较为完善，赋4分； 人员配备分工不明确、管理制度不完善，赋2分；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供应商需提供针对本项目的施工方案，方案各部分内容全面详细、阐述条例清晰详尽，符合本项目采购需求，赋6分； 方案内容基本完善、较为合理、可行性一般，赋4分； 方案没有针对性，不全面，可行性差，赋2分；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措施具有针对性、合理、可行度高，赋6分； 措施基本完善、较为合理、可行性一般，赋4分； 措施没有针对性，不全面，可行性差，赋2分；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确保文明工地的技术组织措施及环境保护</w:t>
            </w:r>
          </w:p>
        </w:tc>
        <w:tc>
          <w:tcPr>
            <w:tcW w:type="dxa" w:w="2492"/>
          </w:tcPr>
          <w:p>
            <w:pPr>
              <w:pStyle w:val="null3"/>
            </w:pPr>
            <w:r>
              <w:rPr>
                <w:rFonts w:ascii="仿宋_GB2312" w:hAnsi="仿宋_GB2312" w:cs="仿宋_GB2312" w:eastAsia="仿宋_GB2312"/>
              </w:rPr>
              <w:t>措施具有针对性、合理、可行度高，赋6分； 措施基本完善、较为合理、可行性一般，赋4分； 措施没有针对性，不全面，可行性差，赋2分；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劳动力计划及主要材料供应计划</w:t>
            </w:r>
          </w:p>
        </w:tc>
        <w:tc>
          <w:tcPr>
            <w:tcW w:type="dxa" w:w="2492"/>
          </w:tcPr>
          <w:p>
            <w:pPr>
              <w:pStyle w:val="null3"/>
            </w:pPr>
            <w:r>
              <w:rPr>
                <w:rFonts w:ascii="仿宋_GB2312" w:hAnsi="仿宋_GB2312" w:cs="仿宋_GB2312" w:eastAsia="仿宋_GB2312"/>
              </w:rPr>
              <w:t>计划具有针对性、合理、可行度高，赋6分； 计划基本完善、较为合理、可行性一般，赋4分； 计划没有针对性，不全面，可行性差，赋2分；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施工机械设备供应计划表</w:t>
            </w:r>
          </w:p>
        </w:tc>
        <w:tc>
          <w:tcPr>
            <w:tcW w:type="dxa" w:w="2492"/>
          </w:tcPr>
          <w:p>
            <w:pPr>
              <w:pStyle w:val="null3"/>
            </w:pPr>
            <w:r>
              <w:rPr>
                <w:rFonts w:ascii="仿宋_GB2312" w:hAnsi="仿宋_GB2312" w:cs="仿宋_GB2312" w:eastAsia="仿宋_GB2312"/>
              </w:rPr>
              <w:t>施工机械设施齐全，性能指标及材料投入能够满足项目要求。根据证明材料进行赋分。 提供的证明材料齐全，满足项目要求，赋5分； 提供的证明材料较为齐全，较能满足项目要求，赋3分； 提供的证明材料不齐全，不能满足项目要求，赋1分； 未提供证明材料不得分。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确保工程质量保证措施</w:t>
            </w:r>
          </w:p>
        </w:tc>
        <w:tc>
          <w:tcPr>
            <w:tcW w:type="dxa" w:w="2492"/>
          </w:tcPr>
          <w:p>
            <w:pPr>
              <w:pStyle w:val="null3"/>
            </w:pPr>
            <w:r>
              <w:rPr>
                <w:rFonts w:ascii="仿宋_GB2312" w:hAnsi="仿宋_GB2312" w:cs="仿宋_GB2312" w:eastAsia="仿宋_GB2312"/>
              </w:rPr>
              <w:t>措施具有针对性、合理、可行度高，赋5分； 措施基本完善、较为合理、可行性一般，赋3分； 措施没有针对性，不全面，可行性差，赋1分；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施工进度计划及确保工期的技术措施</w:t>
            </w:r>
          </w:p>
        </w:tc>
        <w:tc>
          <w:tcPr>
            <w:tcW w:type="dxa" w:w="2492"/>
          </w:tcPr>
          <w:p>
            <w:pPr>
              <w:pStyle w:val="null3"/>
            </w:pPr>
            <w:r>
              <w:rPr>
                <w:rFonts w:ascii="仿宋_GB2312" w:hAnsi="仿宋_GB2312" w:cs="仿宋_GB2312" w:eastAsia="仿宋_GB2312"/>
              </w:rPr>
              <w:t>计划及措施具有针对性、合理、可行度高，赋5分； 计划及措施基本完善、较为合理、可行性一般，赋3分； 计划及措施没有针对性，不全面，可行性差，赋1分；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雨季施工管理防范措施</w:t>
            </w:r>
          </w:p>
        </w:tc>
        <w:tc>
          <w:tcPr>
            <w:tcW w:type="dxa" w:w="2492"/>
          </w:tcPr>
          <w:p>
            <w:pPr>
              <w:pStyle w:val="null3"/>
            </w:pPr>
            <w:r>
              <w:rPr>
                <w:rFonts w:ascii="仿宋_GB2312" w:hAnsi="仿宋_GB2312" w:cs="仿宋_GB2312" w:eastAsia="仿宋_GB2312"/>
              </w:rPr>
              <w:t>措施具有针对性、合理、可行度高，赋5分； 措施基本完善、较为合理、可行性一般，赋3分； 措施没有针对性，不全面，可行性差，赋1分；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垃圾清运的计划</w:t>
            </w:r>
          </w:p>
        </w:tc>
        <w:tc>
          <w:tcPr>
            <w:tcW w:type="dxa" w:w="2492"/>
          </w:tcPr>
          <w:p>
            <w:pPr>
              <w:pStyle w:val="null3"/>
            </w:pPr>
            <w:r>
              <w:rPr>
                <w:rFonts w:ascii="仿宋_GB2312" w:hAnsi="仿宋_GB2312" w:cs="仿宋_GB2312" w:eastAsia="仿宋_GB2312"/>
              </w:rPr>
              <w:t>计划具有针对性、合理、可行度高，赋5分； 计划基本完善、较为合理、可行性一般，赋3分； 计划没有针对性，不全面，可行性差，赋1分；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实质性承诺及合理化建议</w:t>
            </w:r>
          </w:p>
        </w:tc>
        <w:tc>
          <w:tcPr>
            <w:tcW w:type="dxa" w:w="2492"/>
          </w:tcPr>
          <w:p>
            <w:pPr>
              <w:pStyle w:val="null3"/>
            </w:pPr>
            <w:r>
              <w:rPr>
                <w:rFonts w:ascii="仿宋_GB2312" w:hAnsi="仿宋_GB2312" w:cs="仿宋_GB2312" w:eastAsia="仿宋_GB2312"/>
              </w:rPr>
              <w:t>针对本项目实际需求提供实质性承诺及合理化建议： 承诺及合理化建议具有针对性、合理、可行度高，赋5分； 承诺及合理化建议基本完善、较为合理、可行性一般，赋3分； 承诺及合理化建议没有针对性，不全面，可行性差，赋1分；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后续服务条款及措施承诺</w:t>
            </w:r>
          </w:p>
        </w:tc>
        <w:tc>
          <w:tcPr>
            <w:tcW w:type="dxa" w:w="2492"/>
          </w:tcPr>
          <w:p>
            <w:pPr>
              <w:pStyle w:val="null3"/>
            </w:pPr>
            <w:r>
              <w:rPr>
                <w:rFonts w:ascii="仿宋_GB2312" w:hAnsi="仿宋_GB2312" w:cs="仿宋_GB2312" w:eastAsia="仿宋_GB2312"/>
              </w:rPr>
              <w:t>供应商需提供针对本项目完工后的后续服务条款及措施承诺： 后续服务条款及措施承诺具有针对性、完善、可行性强，赋5分； 后续服务条款及措施承诺较为全面完善、可行性一般，赋3分； 后续服务条款及措施承诺不可行、不全面，赋1分；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提供2023年4月至今（以施工合同协议书或中标通知书复印件为准）类似项目业绩，每有1项计1分，最多得5分；未提供不计分。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1.经初审合格的磋商响应文件，其磋商报价为有效磋商报价，并对有效磋商报价进行政策性扣减，并依据扣减后的价格（评审价格）进行价格评审。 2.满足磋商文件实质性要求且最终报价最低的供应商的价格为磋商基准价，其价格分为满分30分。 3.磋商报价得分=（磋商基准价/磋商报价）×30的公式计算得分。 4.磋商报价不完整的，不进入磋商标准价的计算，本项得0分。 5.经评委一致认定，供应商的磋商最终总报价低于公认市场成本，或超过采购预算,其磋商响应将被拒绝。注：本项目已专门面向中小微企业，对小微企业、监狱企业、残疾人福利性单位不再给予价格扣除，供应商需如实填写《中小企业声明函》。</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项目管理机构及项目经理部组成</w:t>
            </w:r>
          </w:p>
        </w:tc>
        <w:tc>
          <w:tcPr>
            <w:tcW w:type="dxa" w:w="2492"/>
          </w:tcPr>
          <w:p>
            <w:pPr>
              <w:pStyle w:val="null3"/>
            </w:pPr>
            <w:r>
              <w:rPr>
                <w:rFonts w:ascii="仿宋_GB2312" w:hAnsi="仿宋_GB2312" w:cs="仿宋_GB2312" w:eastAsia="仿宋_GB2312"/>
              </w:rPr>
              <w:t>人员配备合理、分工明确、管理制度完善，赋6分； 人员配备分工较为明确、管理制度较为完善，赋4分； 人员配备分工不明确、管理制度不完善，赋2分；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供应商需提供针对本项目的施工方案，方案各部分内容全面详细、阐述条例清晰详尽，符合本项目采购需求，赋6分； 方案内容基本完善、较为合理、可行性一般，赋4分； 方案没有针对性，不全面，可行性差，赋2分；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措施具有针对性、合理、可行度高，赋6分； 措施基本完善、较为合理、可行性一般，赋4分； 措施没有针对性，不全面，可行性差，赋2分；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确保文明工地的技术组织措施及环境保护</w:t>
            </w:r>
          </w:p>
        </w:tc>
        <w:tc>
          <w:tcPr>
            <w:tcW w:type="dxa" w:w="2492"/>
          </w:tcPr>
          <w:p>
            <w:pPr>
              <w:pStyle w:val="null3"/>
            </w:pPr>
            <w:r>
              <w:rPr>
                <w:rFonts w:ascii="仿宋_GB2312" w:hAnsi="仿宋_GB2312" w:cs="仿宋_GB2312" w:eastAsia="仿宋_GB2312"/>
              </w:rPr>
              <w:t>措施具有针对性、合理、可行度高，赋6分； 措施基本完善、较为合理、可行性一般，赋4分； 措施没有针对性，不全面，可行性差，赋2分；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劳动力计划及主要材料供应计划</w:t>
            </w:r>
          </w:p>
        </w:tc>
        <w:tc>
          <w:tcPr>
            <w:tcW w:type="dxa" w:w="2492"/>
          </w:tcPr>
          <w:p>
            <w:pPr>
              <w:pStyle w:val="null3"/>
            </w:pPr>
            <w:r>
              <w:rPr>
                <w:rFonts w:ascii="仿宋_GB2312" w:hAnsi="仿宋_GB2312" w:cs="仿宋_GB2312" w:eastAsia="仿宋_GB2312"/>
              </w:rPr>
              <w:t>计划具有针对性、合理、可行度高，赋6分； 计划基本完善、较为合理、可行性一般，赋4分； 计划没有针对性，不全面，可行性差，赋2分；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施工机械设备供应计划表</w:t>
            </w:r>
          </w:p>
        </w:tc>
        <w:tc>
          <w:tcPr>
            <w:tcW w:type="dxa" w:w="2492"/>
          </w:tcPr>
          <w:p>
            <w:pPr>
              <w:pStyle w:val="null3"/>
            </w:pPr>
            <w:r>
              <w:rPr>
                <w:rFonts w:ascii="仿宋_GB2312" w:hAnsi="仿宋_GB2312" w:cs="仿宋_GB2312" w:eastAsia="仿宋_GB2312"/>
              </w:rPr>
              <w:t>施工机械设施齐全，性能指标及材料投入能够满足项目要求。根据证明材料进行赋分。 提供的证明材料齐全，满足项目要求，赋5分； 提供的证明材料较为齐全，较能满足项目要求，赋3分； 提供的证明材料不齐全，不能满足项目要求，赋1分； 未提供证明材料不得分。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确保工程质量保证措施</w:t>
            </w:r>
          </w:p>
        </w:tc>
        <w:tc>
          <w:tcPr>
            <w:tcW w:type="dxa" w:w="2492"/>
          </w:tcPr>
          <w:p>
            <w:pPr>
              <w:pStyle w:val="null3"/>
            </w:pPr>
            <w:r>
              <w:rPr>
                <w:rFonts w:ascii="仿宋_GB2312" w:hAnsi="仿宋_GB2312" w:cs="仿宋_GB2312" w:eastAsia="仿宋_GB2312"/>
              </w:rPr>
              <w:t>措施具有针对性、合理、可行度高，赋5分； 措施基本完善、较为合理、可行性一般，赋3分； 措施没有针对性，不全面，可行性差，赋1分；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施工进度计划及确保工期的技术措施</w:t>
            </w:r>
          </w:p>
        </w:tc>
        <w:tc>
          <w:tcPr>
            <w:tcW w:type="dxa" w:w="2492"/>
          </w:tcPr>
          <w:p>
            <w:pPr>
              <w:pStyle w:val="null3"/>
            </w:pPr>
            <w:r>
              <w:rPr>
                <w:rFonts w:ascii="仿宋_GB2312" w:hAnsi="仿宋_GB2312" w:cs="仿宋_GB2312" w:eastAsia="仿宋_GB2312"/>
              </w:rPr>
              <w:t>计划及措施具有针对性、合理、可行度高，赋5分； 计划及措施基本完善、较为合理、可行性一般，赋3分； 计划及措施没有针对性，不全面，可行性差，赋1分；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雨季施工管理防范措施</w:t>
            </w:r>
          </w:p>
        </w:tc>
        <w:tc>
          <w:tcPr>
            <w:tcW w:type="dxa" w:w="2492"/>
          </w:tcPr>
          <w:p>
            <w:pPr>
              <w:pStyle w:val="null3"/>
            </w:pPr>
            <w:r>
              <w:rPr>
                <w:rFonts w:ascii="仿宋_GB2312" w:hAnsi="仿宋_GB2312" w:cs="仿宋_GB2312" w:eastAsia="仿宋_GB2312"/>
              </w:rPr>
              <w:t>措施具有针对性、合理、可行度高，赋5分； 措施基本完善、较为合理、可行性一般，赋3分； 措施没有针对性，不全面，可行性差，赋1分；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垃圾清运的计划</w:t>
            </w:r>
          </w:p>
        </w:tc>
        <w:tc>
          <w:tcPr>
            <w:tcW w:type="dxa" w:w="2492"/>
          </w:tcPr>
          <w:p>
            <w:pPr>
              <w:pStyle w:val="null3"/>
            </w:pPr>
            <w:r>
              <w:rPr>
                <w:rFonts w:ascii="仿宋_GB2312" w:hAnsi="仿宋_GB2312" w:cs="仿宋_GB2312" w:eastAsia="仿宋_GB2312"/>
              </w:rPr>
              <w:t>计划具有针对性、合理、可行度高，赋5分； 计划基本完善、较为合理、可行性一般，赋3分； 计划没有针对性，不全面，可行性差，赋1分；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实质性承诺及合理化建议</w:t>
            </w:r>
          </w:p>
        </w:tc>
        <w:tc>
          <w:tcPr>
            <w:tcW w:type="dxa" w:w="2492"/>
          </w:tcPr>
          <w:p>
            <w:pPr>
              <w:pStyle w:val="null3"/>
            </w:pPr>
            <w:r>
              <w:rPr>
                <w:rFonts w:ascii="仿宋_GB2312" w:hAnsi="仿宋_GB2312" w:cs="仿宋_GB2312" w:eastAsia="仿宋_GB2312"/>
              </w:rPr>
              <w:t>针对本项目实际需求提供实质性承诺及合理化建议： 承诺及合理化建议具有针对性、合理、可行度高，赋5分； 承诺及合理化建议基本完善、较为合理、可行性一般，赋3分； 承诺及合理化建议没有针对性，不全面，可行性差，赋1分；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后续服务条款及措施承诺</w:t>
            </w:r>
          </w:p>
        </w:tc>
        <w:tc>
          <w:tcPr>
            <w:tcW w:type="dxa" w:w="2492"/>
          </w:tcPr>
          <w:p>
            <w:pPr>
              <w:pStyle w:val="null3"/>
            </w:pPr>
            <w:r>
              <w:rPr>
                <w:rFonts w:ascii="仿宋_GB2312" w:hAnsi="仿宋_GB2312" w:cs="仿宋_GB2312" w:eastAsia="仿宋_GB2312"/>
              </w:rPr>
              <w:t>供应商需提供针对本项目完工后的后续服务条款及措施承诺： 后续服务条款及措施承诺具有针对性、完善、可行性强，赋5分； 后续服务条款及措施承诺较为全面完善、可行性一般，赋3分； 后续服务条款及措施承诺不可行、不全面，赋1分；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提供2023年4月至今（以施工合同协议书或中标通知书复印件为准）类似项目业绩，每有1项计1分，最多得5分；未提供不计分。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1.经初审合格的磋商响应文件，其磋商报价为有效磋商报价，并对有效磋商报价进行政策性扣减，并依据扣减后的价格（评审价格）进行价格评审。 2.满足磋商文件实质性要求且最终报价最低的供应商的价格为磋商基准价，其价格分为满分30分。 3.磋商报价得分=（磋商基准价/磋商报价）×30的公式计算得分。 4.磋商报价不完整的，不进入磋商标准价的计算，本项得0分。 5.经评委一致认定，供应商的磋商最终总报价低于公认市场成本，或超过采购预算,其磋商响应将被拒绝。注：本项目已专门面向中小微企业，对小微企业、监狱企业、残疾人福利性单位不再给予价格扣除，供应商需如实填写《中小企业声明函》。</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项目管理机构及项目经理部组成</w:t>
            </w:r>
          </w:p>
        </w:tc>
        <w:tc>
          <w:tcPr>
            <w:tcW w:type="dxa" w:w="2492"/>
          </w:tcPr>
          <w:p>
            <w:pPr>
              <w:pStyle w:val="null3"/>
            </w:pPr>
            <w:r>
              <w:rPr>
                <w:rFonts w:ascii="仿宋_GB2312" w:hAnsi="仿宋_GB2312" w:cs="仿宋_GB2312" w:eastAsia="仿宋_GB2312"/>
              </w:rPr>
              <w:t>人员配备合理、分工明确、管理制度完善，赋6分； 人员配备分工较为明确、管理制度较为完善，赋4分； 人员配备分工不明确、管理制度不完善，赋2分；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供应商需提供针对本项目的施工方案，方案各部分内容全面详细、阐述条例清晰详尽，符合本项目采购需求，赋6分； 方案内容基本完善、较为合理、可行性一般，赋4分； 方案没有针对性，不全面，可行性差，赋2分；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措施具有针对性、合理、可行度高，赋6分； 措施基本完善、较为合理、可行性一般，赋4分； 措施没有针对性，不全面，可行性差，赋2分；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确保文明工地的技术组织措施及环境保护</w:t>
            </w:r>
          </w:p>
        </w:tc>
        <w:tc>
          <w:tcPr>
            <w:tcW w:type="dxa" w:w="2492"/>
          </w:tcPr>
          <w:p>
            <w:pPr>
              <w:pStyle w:val="null3"/>
            </w:pPr>
            <w:r>
              <w:rPr>
                <w:rFonts w:ascii="仿宋_GB2312" w:hAnsi="仿宋_GB2312" w:cs="仿宋_GB2312" w:eastAsia="仿宋_GB2312"/>
              </w:rPr>
              <w:t>措施具有针对性、合理、可行度高，赋6分； 措施基本完善、较为合理、可行性一般，赋4分； 措施没有针对性，不全面，可行性差，赋2分；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劳动力计划及主要材料供应计划</w:t>
            </w:r>
          </w:p>
        </w:tc>
        <w:tc>
          <w:tcPr>
            <w:tcW w:type="dxa" w:w="2492"/>
          </w:tcPr>
          <w:p>
            <w:pPr>
              <w:pStyle w:val="null3"/>
            </w:pPr>
            <w:r>
              <w:rPr>
                <w:rFonts w:ascii="仿宋_GB2312" w:hAnsi="仿宋_GB2312" w:cs="仿宋_GB2312" w:eastAsia="仿宋_GB2312"/>
              </w:rPr>
              <w:t>计划具有针对性、合理、可行度高，赋6分； 计划基本完善、较为合理、可行性一般，赋4分； 计划没有针对性，不全面，可行性差，赋2分；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施工机械设备供应计划表</w:t>
            </w:r>
          </w:p>
        </w:tc>
        <w:tc>
          <w:tcPr>
            <w:tcW w:type="dxa" w:w="2492"/>
          </w:tcPr>
          <w:p>
            <w:pPr>
              <w:pStyle w:val="null3"/>
            </w:pPr>
            <w:r>
              <w:rPr>
                <w:rFonts w:ascii="仿宋_GB2312" w:hAnsi="仿宋_GB2312" w:cs="仿宋_GB2312" w:eastAsia="仿宋_GB2312"/>
              </w:rPr>
              <w:t>施工机械设施齐全，性能指标及材料投入能够满足项目要求。根据证明材料进行赋分。 提供的证明材料齐全，满足项目要求，赋5分； 提供的证明材料较为齐全，较能满足项目要求，赋3分； 提供的证明材料不齐全，不能满足项目要求，赋1分； 未提供证明材料不得分。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确保工程质量保证措施</w:t>
            </w:r>
          </w:p>
        </w:tc>
        <w:tc>
          <w:tcPr>
            <w:tcW w:type="dxa" w:w="2492"/>
          </w:tcPr>
          <w:p>
            <w:pPr>
              <w:pStyle w:val="null3"/>
            </w:pPr>
            <w:r>
              <w:rPr>
                <w:rFonts w:ascii="仿宋_GB2312" w:hAnsi="仿宋_GB2312" w:cs="仿宋_GB2312" w:eastAsia="仿宋_GB2312"/>
              </w:rPr>
              <w:t>措施具有针对性、合理、可行度高，赋5分； 措施基本完善、较为合理、可行性一般，赋3分； 措施没有针对性，不全面，可行性差，赋1分；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施工进度计划及确保工期的技术措施</w:t>
            </w:r>
          </w:p>
        </w:tc>
        <w:tc>
          <w:tcPr>
            <w:tcW w:type="dxa" w:w="2492"/>
          </w:tcPr>
          <w:p>
            <w:pPr>
              <w:pStyle w:val="null3"/>
            </w:pPr>
            <w:r>
              <w:rPr>
                <w:rFonts w:ascii="仿宋_GB2312" w:hAnsi="仿宋_GB2312" w:cs="仿宋_GB2312" w:eastAsia="仿宋_GB2312"/>
              </w:rPr>
              <w:t>计划及措施具有针对性、合理、可行度高，赋5分； 计划及措施基本完善、较为合理、可行性一般，赋3分； 计划及措施没有针对性，不全面，可行性差，赋1分；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雨季施工管理防范措施</w:t>
            </w:r>
          </w:p>
        </w:tc>
        <w:tc>
          <w:tcPr>
            <w:tcW w:type="dxa" w:w="2492"/>
          </w:tcPr>
          <w:p>
            <w:pPr>
              <w:pStyle w:val="null3"/>
            </w:pPr>
            <w:r>
              <w:rPr>
                <w:rFonts w:ascii="仿宋_GB2312" w:hAnsi="仿宋_GB2312" w:cs="仿宋_GB2312" w:eastAsia="仿宋_GB2312"/>
              </w:rPr>
              <w:t>措施具有针对性、合理、可行度高，赋5分； 措施基本完善、较为合理、可行性一般，赋3分； 措施没有针对性，不全面，可行性差，赋1分；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垃圾清运的计划</w:t>
            </w:r>
          </w:p>
        </w:tc>
        <w:tc>
          <w:tcPr>
            <w:tcW w:type="dxa" w:w="2492"/>
          </w:tcPr>
          <w:p>
            <w:pPr>
              <w:pStyle w:val="null3"/>
            </w:pPr>
            <w:r>
              <w:rPr>
                <w:rFonts w:ascii="仿宋_GB2312" w:hAnsi="仿宋_GB2312" w:cs="仿宋_GB2312" w:eastAsia="仿宋_GB2312"/>
              </w:rPr>
              <w:t>计划具有针对性、合理、可行度高，赋5分； 计划基本完善、较为合理、可行性一般，赋3分； 计划没有针对性，不全面，可行性差，赋1分；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实质性承诺及合理化建议</w:t>
            </w:r>
          </w:p>
        </w:tc>
        <w:tc>
          <w:tcPr>
            <w:tcW w:type="dxa" w:w="2492"/>
          </w:tcPr>
          <w:p>
            <w:pPr>
              <w:pStyle w:val="null3"/>
            </w:pPr>
            <w:r>
              <w:rPr>
                <w:rFonts w:ascii="仿宋_GB2312" w:hAnsi="仿宋_GB2312" w:cs="仿宋_GB2312" w:eastAsia="仿宋_GB2312"/>
              </w:rPr>
              <w:t>针对本项目实际需求提供实质性承诺及合理化建议： 承诺及合理化建议具有针对性、合理、可行度高，赋5分； 承诺及合理化建议基本完善、较为合理、可行性一般，赋3分； 承诺及合理化建议没有针对性，不全面，可行性差，赋1分；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后续服务条款及措施承诺</w:t>
            </w:r>
          </w:p>
        </w:tc>
        <w:tc>
          <w:tcPr>
            <w:tcW w:type="dxa" w:w="2492"/>
          </w:tcPr>
          <w:p>
            <w:pPr>
              <w:pStyle w:val="null3"/>
            </w:pPr>
            <w:r>
              <w:rPr>
                <w:rFonts w:ascii="仿宋_GB2312" w:hAnsi="仿宋_GB2312" w:cs="仿宋_GB2312" w:eastAsia="仿宋_GB2312"/>
              </w:rPr>
              <w:t>供应商需提供针对本项目完工后的后续服务条款及措施承诺： 后续服务条款及措施承诺具有针对性、完善、可行性强，赋5分； 后续服务条款及措施承诺较为全面完善、可行性一般，赋3分； 后续服务条款及措施承诺不可行、不全面，赋1分；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提供2023年4月至今（以施工合同协议书或中标通知书复印件为准）类似项目业绩，每有1项计1分，最多得5分；未提供不计分。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1.经初审合格的磋商响应文件，其磋商报价为有效磋商报价，并对有效磋商报价进行政策性扣减，并依据扣减后的价格（评审价格）进行价格评审。 2.满足磋商文件实质性要求且最终报价最低的供应商的价格为磋商基准价，其价格分为满分30分。 3.磋商报价得分=（磋商基准价/磋商报价）×30的公式计算得分。 4.磋商报价不完整的，不进入磋商标准价的计算，本项得0分。 5.经评委一致认定，供应商的磋商最终总报价低于公认市场成本，或超过采购预算,其磋商响应将被拒绝。注：本项目已专门面向中小微企业，对小微企业、监狱企业、残疾人福利性单位不再给予价格扣除，供应商需如实填写《中小企业声明函》。</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详见附件：分项报价表（最终报价）.docx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详见附件：分项报价表（最终报价）.docx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详见附件：分项报价表（最终报价）.docx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