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版本号：LC-ZC-2026-00520260410001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劳动教育实践基地工程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LC-ZC-2026-005</w:t>
      </w:r>
      <w:r>
        <w:br/>
      </w:r>
      <w:r>
        <w:br/>
      </w:r>
      <w:r>
        <w:br/>
      </w:r>
    </w:p>
    <w:p>
      <w:pPr>
        <w:pStyle w:val="null3"/>
        <w:jc w:val="center"/>
        <w:outlineLvl w:val="2"/>
      </w:pPr>
      <w:r>
        <w:rPr>
          <w:rFonts w:ascii="仿宋_GB2312" w:hAnsi="仿宋_GB2312" w:cs="仿宋_GB2312" w:eastAsia="仿宋_GB2312"/>
          <w:sz w:val="28"/>
          <w:b/>
        </w:rPr>
        <w:t>西安市渭北中学</w:t>
      </w:r>
    </w:p>
    <w:p>
      <w:pPr>
        <w:pStyle w:val="null3"/>
        <w:jc w:val="center"/>
        <w:outlineLvl w:val="2"/>
      </w:pPr>
      <w:r>
        <w:rPr>
          <w:rFonts w:ascii="仿宋_GB2312" w:hAnsi="仿宋_GB2312" w:cs="仿宋_GB2312" w:eastAsia="仿宋_GB2312"/>
          <w:sz w:val="28"/>
          <w:b/>
        </w:rPr>
        <w:t>陕西龙辰全过程工程咨询有限公司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陕西龙辰全过程工程咨询有限公司</w:t>
      </w:r>
      <w:r>
        <w:rPr>
          <w:rFonts w:ascii="仿宋_GB2312" w:hAnsi="仿宋_GB2312" w:cs="仿宋_GB2312" w:eastAsia="仿宋_GB2312"/>
        </w:rPr>
        <w:t>（以下简称“代理机构”）受</w:t>
      </w:r>
      <w:r>
        <w:rPr>
          <w:rFonts w:ascii="仿宋_GB2312" w:hAnsi="仿宋_GB2312" w:cs="仿宋_GB2312" w:eastAsia="仿宋_GB2312"/>
        </w:rPr>
        <w:t>西安市渭北中学</w:t>
      </w:r>
      <w:r>
        <w:rPr>
          <w:rFonts w:ascii="仿宋_GB2312" w:hAnsi="仿宋_GB2312" w:cs="仿宋_GB2312" w:eastAsia="仿宋_GB2312"/>
        </w:rPr>
        <w:t>委托，拟对</w:t>
      </w:r>
      <w:r>
        <w:rPr>
          <w:rFonts w:ascii="仿宋_GB2312" w:hAnsi="仿宋_GB2312" w:cs="仿宋_GB2312" w:eastAsia="仿宋_GB2312"/>
        </w:rPr>
        <w:t>劳动教育实践基地工程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LC-ZC-2026-005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劳动教育实践基地工程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为满足生物教学需求，计划在学校现址内空地建设微型农场，同时作为劳动教学实践户外课堂，有助于学生学习和观察农作物生长情况。</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采购包1（劳动教育实践基地工程）：属于专门面向中小企业采购。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1、法定代表人（主要责任人）委托授权书/身份证明：法定代表人授权书（附法定代表人、被授权人身份证复印件）及被授权人身份证（法定代表人直接参加磋商，须提供法定代表人身份证明及身份证复印件）</w:t>
      </w:r>
    </w:p>
    <w:p>
      <w:pPr>
        <w:pStyle w:val="null3"/>
      </w:pPr>
      <w:r>
        <w:rPr>
          <w:rFonts w:ascii="仿宋_GB2312" w:hAnsi="仿宋_GB2312" w:cs="仿宋_GB2312" w:eastAsia="仿宋_GB2312"/>
        </w:rPr>
        <w:t>2、资质要求：具备建筑工程施工总承包三级（含）及以上资质，具有有效的安全生产许可证。</w:t>
      </w:r>
    </w:p>
    <w:p>
      <w:pPr>
        <w:pStyle w:val="null3"/>
      </w:pPr>
      <w:r>
        <w:rPr>
          <w:rFonts w:ascii="仿宋_GB2312" w:hAnsi="仿宋_GB2312" w:cs="仿宋_GB2312" w:eastAsia="仿宋_GB2312"/>
        </w:rPr>
        <w:t>3、项目经理资格要求：拟派项目经理须具备建筑工程专业二级（含）及以上注册建造师资格，具有有效的安全生产考核合格证书（建安B证），在本单位注册且现阶段没有担任任何在施建设工程项目的项目经理和无不良信用记录。</w:t>
      </w:r>
    </w:p>
    <w:p>
      <w:pPr>
        <w:pStyle w:val="null3"/>
      </w:pPr>
      <w:r>
        <w:rPr>
          <w:rFonts w:ascii="仿宋_GB2312" w:hAnsi="仿宋_GB2312" w:cs="仿宋_GB2312" w:eastAsia="仿宋_GB2312"/>
        </w:rPr>
        <w:t>4、信用记录审查：供应商不得为“信用中国”网站中列入失信被执行人和重大税收违法案件当事人名单的供应商，不得为中国政府采购网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西安市渭北中学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西安渭北工业区临潼现代工业组团秦王一路西侧6号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思慕聪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17392476249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陕西龙辰全过程工程咨询有限公司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西安市未央区朱宏路888号威尔佳酒店B座7楼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乔子霁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029-86350681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西安经济技术开发区政府采购管理股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康钧朝</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029-89821250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采购包1：461,348.66元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代理服务费收费标准：该项目代理服务费为定额人民币伍仟元整（￥5000.00元），向成交供应商收取。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西安市渭北中学</w:t>
      </w:r>
      <w:r>
        <w:rPr>
          <w:rFonts w:ascii="仿宋_GB2312" w:hAnsi="仿宋_GB2312" w:cs="仿宋_GB2312" w:eastAsia="仿宋_GB2312"/>
        </w:rPr>
        <w:t>和</w:t>
      </w:r>
      <w:r>
        <w:rPr>
          <w:rFonts w:ascii="仿宋_GB2312" w:hAnsi="仿宋_GB2312" w:cs="仿宋_GB2312" w:eastAsia="仿宋_GB2312"/>
        </w:rPr>
        <w:t>陕西龙辰全过程工程咨询有限公司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西安市渭北中学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陕西龙辰全过程工程咨询有限公司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西安市渭北中学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陕西龙辰全过程工程咨询有限公司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工程质量达到合格标准，并满足国家相关标准、规范及有关技术文件要求。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陕西龙辰全过程工程咨询有限公司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陕西龙辰全过程工程咨询有限公司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陕西龙辰全过程工程咨询有限公司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联系人：乔子霁</w:t>
      </w:r>
    </w:p>
    <w:p>
      <w:pPr>
        <w:pStyle w:val="null3"/>
      </w:pPr>
      <w:r>
        <w:rPr>
          <w:rFonts w:ascii="仿宋_GB2312" w:hAnsi="仿宋_GB2312" w:cs="仿宋_GB2312" w:eastAsia="仿宋_GB2312"/>
        </w:rPr>
        <w:t>联系电话：029-86350681</w:t>
      </w:r>
    </w:p>
    <w:p>
      <w:pPr>
        <w:pStyle w:val="null3"/>
      </w:pPr>
      <w:r>
        <w:rPr>
          <w:rFonts w:ascii="仿宋_GB2312" w:hAnsi="仿宋_GB2312" w:cs="仿宋_GB2312" w:eastAsia="仿宋_GB2312"/>
        </w:rPr>
        <w:t>地址：西安市未央区朱宏路888号威尔佳酒店B座7楼</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461,348.66</w:t>
      </w:r>
    </w:p>
    <w:p>
      <w:pPr>
        <w:pStyle w:val="null3"/>
      </w:pPr>
      <w:r>
        <w:rPr>
          <w:rFonts w:ascii="仿宋_GB2312" w:hAnsi="仿宋_GB2312" w:cs="仿宋_GB2312" w:eastAsia="仿宋_GB2312"/>
        </w:rPr>
        <w:t>采购包最高限价（元）: 461,348.66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劳动教育实践基地工程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461,348.66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标的名称：劳动教育实践基地工程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1、工程概况：为满足生物教学需求，计划在学校现址内空地建设微型农场，同时作为劳动教学实践户外课堂，有助于学生学习和观察农作物生长情况。</w:t>
            </w:r>
            <w:r>
              <w:br/>
            </w:r>
            <w:r>
              <w:rPr>
                <w:rFonts w:ascii="仿宋_GB2312" w:hAnsi="仿宋_GB2312" w:cs="仿宋_GB2312" w:eastAsia="仿宋_GB2312"/>
              </w:rPr>
              <w:t xml:space="preserve"> 2、建设地址：位于渭北中学东北角空地，南北宽 96 米,东西长 70 米，占地6720㎡(约10 亩)。</w:t>
            </w:r>
            <w:r>
              <w:br/>
            </w:r>
            <w:r>
              <w:rPr>
                <w:rFonts w:ascii="仿宋_GB2312" w:hAnsi="仿宋_GB2312" w:cs="仿宋_GB2312" w:eastAsia="仿宋_GB2312"/>
              </w:rPr>
              <w:t xml:space="preserve"> 3、工程内容：主要包括原场地场地平整及土壤改良、垃圾外运、新建 DIY 操作间、造型粮仓、文化墙及围栏。新建动物养殖区围墙、围网及养殖区室内外装饰。新建简易大棚，室外电气设备安装工程、室外给排水工程等。（具体详见工程量清单及图纸，图纸与工程量清单不一致时以工程量清单为准）</w:t>
            </w:r>
            <w:r>
              <w:br/>
            </w:r>
            <w:r>
              <w:rPr>
                <w:rFonts w:ascii="仿宋_GB2312" w:hAnsi="仿宋_GB2312" w:cs="仿宋_GB2312" w:eastAsia="仿宋_GB2312"/>
              </w:rPr>
              <w:t xml:space="preserve"> 4、施工要求：</w:t>
            </w:r>
            <w:r>
              <w:br/>
            </w:r>
            <w:r>
              <w:rPr>
                <w:rFonts w:ascii="仿宋_GB2312" w:hAnsi="仿宋_GB2312" w:cs="仿宋_GB2312" w:eastAsia="仿宋_GB2312"/>
              </w:rPr>
              <w:t xml:space="preserve"> 4.1在施工期间，供应商必须注意校内人员安全，加强安全措施，并对施工人员进行安全教育。施工人员必须持证上岗。</w:t>
            </w:r>
            <w:r>
              <w:br/>
            </w:r>
            <w:r>
              <w:rPr>
                <w:rFonts w:ascii="仿宋_GB2312" w:hAnsi="仿宋_GB2312" w:cs="仿宋_GB2312" w:eastAsia="仿宋_GB2312"/>
              </w:rPr>
              <w:t xml:space="preserve"> 4.2施工过程中，严格遵守采购人的各种管理规定及规章制度，做到文明施工。发生工伤及意外事故由施工单位负责。</w:t>
            </w:r>
            <w:r>
              <w:br/>
            </w:r>
            <w:r>
              <w:rPr>
                <w:rFonts w:ascii="仿宋_GB2312" w:hAnsi="仿宋_GB2312" w:cs="仿宋_GB2312" w:eastAsia="仿宋_GB2312"/>
              </w:rPr>
              <w:t xml:space="preserve"> 4.3严格按照国家和省上有关规定施工、规范施工，确保工程合格，如有更改须事先征得有关方面的同意，并在采购人落实后实施，并出具书面说明。</w:t>
            </w:r>
            <w:r>
              <w:br/>
            </w:r>
            <w:r>
              <w:rPr>
                <w:rFonts w:ascii="仿宋_GB2312" w:hAnsi="仿宋_GB2312" w:cs="仿宋_GB2312" w:eastAsia="仿宋_GB2312"/>
              </w:rPr>
              <w:t xml:space="preserve"> 4.4工程实行包工包料，供应商必须具备相应的资质，不得转包、分包。</w:t>
            </w:r>
            <w:r>
              <w:br/>
            </w:r>
            <w:r>
              <w:rPr>
                <w:rFonts w:ascii="仿宋_GB2312" w:hAnsi="仿宋_GB2312" w:cs="仿宋_GB2312" w:eastAsia="仿宋_GB2312"/>
              </w:rPr>
              <w:t xml:space="preserve"> 4.5选用的主材、设备、辅材必须明确其品牌、规格、型号、产地，并做好相应的检验环节，经认质后，方可订货，不得使用未经检验或不合格的设备、材料，若发生此种情况，将追究相关人员责任，并赔偿由此造成的一切经济损失。</w:t>
            </w:r>
            <w:r>
              <w:br/>
            </w:r>
            <w:r>
              <w:rPr>
                <w:rFonts w:ascii="仿宋_GB2312" w:hAnsi="仿宋_GB2312" w:cs="仿宋_GB2312" w:eastAsia="仿宋_GB2312"/>
              </w:rPr>
              <w:t xml:space="preserve"> 4.6施工期间需采取必要措施确保现场正常运行。</w:t>
            </w:r>
            <w:r>
              <w:br/>
            </w:r>
            <w:r>
              <w:rPr>
                <w:rFonts w:ascii="仿宋_GB2312" w:hAnsi="仿宋_GB2312" w:cs="仿宋_GB2312" w:eastAsia="仿宋_GB2312"/>
              </w:rPr>
              <w:t xml:space="preserve"> 4.7施工完毕后，供应商负责施工现场的清理和恢复性工作。</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商务要求</w:t>
            </w:r>
            <w:r>
              <w:br/>
            </w:r>
            <w:r>
              <w:rPr>
                <w:rFonts w:ascii="仿宋_GB2312" w:hAnsi="仿宋_GB2312" w:cs="仿宋_GB2312" w:eastAsia="仿宋_GB2312"/>
              </w:rPr>
              <w:t xml:space="preserve"> 1、计划工期：自合同签订之日起40日历天</w:t>
            </w:r>
            <w:r>
              <w:br/>
            </w:r>
            <w:r>
              <w:rPr>
                <w:rFonts w:ascii="仿宋_GB2312" w:hAnsi="仿宋_GB2312" w:cs="仿宋_GB2312" w:eastAsia="仿宋_GB2312"/>
              </w:rPr>
              <w:t xml:space="preserve"> 2、质量：合格</w:t>
            </w:r>
            <w:r>
              <w:br/>
            </w:r>
            <w:r>
              <w:rPr>
                <w:rFonts w:ascii="仿宋_GB2312" w:hAnsi="仿宋_GB2312" w:cs="仿宋_GB2312" w:eastAsia="仿宋_GB2312"/>
              </w:rPr>
              <w:t xml:space="preserve"> 3、合同支付约定：</w:t>
            </w:r>
            <w:r>
              <w:br/>
            </w:r>
            <w:r>
              <w:rPr>
                <w:rFonts w:ascii="仿宋_GB2312" w:hAnsi="仿宋_GB2312" w:cs="仿宋_GB2312" w:eastAsia="仿宋_GB2312"/>
              </w:rPr>
              <w:t xml:space="preserve"> （1）合同签订后30日内支付合同总价款的40%；</w:t>
            </w:r>
            <w:r>
              <w:br/>
            </w:r>
            <w:r>
              <w:rPr>
                <w:rFonts w:ascii="仿宋_GB2312" w:hAnsi="仿宋_GB2312" w:cs="仿宋_GB2312" w:eastAsia="仿宋_GB2312"/>
              </w:rPr>
              <w:t xml:space="preserve"> （2）工程竣工验收合格后30日内支付合同总价款的40%。</w:t>
            </w:r>
            <w:r>
              <w:br/>
            </w:r>
            <w:r>
              <w:rPr>
                <w:rFonts w:ascii="仿宋_GB2312" w:hAnsi="仿宋_GB2312" w:cs="仿宋_GB2312" w:eastAsia="仿宋_GB2312"/>
              </w:rPr>
              <w:t xml:space="preserve"> （3）结算审计完成后30日内支付合同总价款的20%。</w:t>
            </w:r>
            <w:r>
              <w:br/>
            </w:r>
            <w:r>
              <w:rPr>
                <w:rFonts w:ascii="仿宋_GB2312" w:hAnsi="仿宋_GB2312" w:cs="仿宋_GB2312" w:eastAsia="仿宋_GB2312"/>
              </w:rPr>
              <w:t xml:space="preserve"> 4、缺陷责任期：24个月。</w:t>
            </w:r>
            <w:r>
              <w:br/>
            </w:r>
            <w:r>
              <w:rPr>
                <w:rFonts w:ascii="仿宋_GB2312" w:hAnsi="仿宋_GB2312" w:cs="仿宋_GB2312" w:eastAsia="仿宋_GB2312"/>
              </w:rPr>
              <w:t xml:space="preserve"> 5、质量保修期：按照法定最低期限执行。</w:t>
            </w:r>
            <w:r>
              <w:br/>
            </w:r>
            <w:r>
              <w:rPr>
                <w:rFonts w:ascii="仿宋_GB2312" w:hAnsi="仿宋_GB2312" w:cs="仿宋_GB2312" w:eastAsia="仿宋_GB2312"/>
              </w:rPr>
              <w:t xml:space="preserve"> 6、合同承包方式：固定总价承包，执行过程中总价不做调整。</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工程质量达到合格标准，并满足国家相关标准、规范及有关技术文件要求。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采购预算编制依据：（1）《陕西省建设工程费用规则》（2025）、《陕西省房屋建筑与装饰工程消耗量定额》（2025）等计价依据。（2）扬尘治理专项措施费执行陕建发【2017】270号文件《关于增加建设工程扬尘治理专项措施费及综合人工单价调整的通知》、安全文明施工措施费执行陕建发【2019】1246号文件《关于发布我省落实建筑工人实名制管理计价依据的通知》。（3）税率调整依据陕建发【2019】45号文件《关于重新调整建设工程计价依据增值税税率的通知》。（4）人工费调整依据陕建发【2021】1097号文件《关于调整房屋建筑和市政基础设施工程工程量清单计价综合人工单价的通知》。（5）建筑施工安全生产责任保险费的调整依据陕建发【2020】1097号文《关于建筑施工安全生产责任保险费用计价的通知》。（6）养老统筹执行陕建发【2021】1021号文件《关于全省统一停止收缴建筑业劳保费用的通知》。</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落实的政府采购政策：（1）《政府采购促进中小企业发展管理办法》（财库〔2020〕46号）；（2）《关于政府采购支持监狱企业发展有关问题的通知》（财库〔2014〕68号）；（3）《国务院办公厅关于建立政府强制采购节能产品制度的通知》（国办发〔2007〕51号）；（4）《关于印发环境标志产品政府采购品目清单的通知》--（财库〔2019〕18号）；（5）《关于印发节能产品政府采购品目清单的通知》--（财库〔2019〕19号）；（6）《关于促进残疾人就业政府采购政策的通知》（财库〔2017〕141号）；（7）《财政部 发展改革委 生态环境部 市场监管总局关于调整优化节能产品、环境标志产品政府采购执行机制的通知》（财库〔2019〕9号）；（8）陕西省财政厅关于印发《陕西省中小企业政府采购信用融资办法》（陕财办采〔2018〕23号）；（9）其他需要落实的政府采购政策，如有最新颁布的政府采购政策，按最新的文件执行。2、本项目所属行业为建筑业。中小微企业划型标准为：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3、事业单位参与投标时，可不提供财务状况报告、社会保障资金和税收缴纳证明；依法免税或不需要缴纳社会保障资金的供应商，应提供相应证明文件，证明其依法免税或不需要缴纳社会保障资金。 4、供应商获取采购文件的，如不参与项目投标，应在递交响应文件递交截止时间前一日以书面形式告知采购代理机构。否则，采购代理机构可以向财政部门反映情况并提供相应的佐证。供应商一年内累计出现三次该情形,将被监管部门记录为失信行为。5、供应商基本信息及项目经理的相关信息在“陕西省住房和城乡建设厅网站（http://js.shaanxi.gov.cn/）”可查询。</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根据《西安市财政局关于开展政府采购供应商基本资格条件承诺制试点工作的通知》(市财函〔2024〕1032号)文的规定，本项目实行基本资格条件承诺制，供应商按要求提交《基本资格条件承诺函》。供应商应对承诺内容的真实性、合法性、有效性负责。经调查核实为虚假承诺的，视同为“提供虚假材料谋取中标、成交”的违法行为，依照《中华人民共和国政府采购法》等法律法规追究相应责任。 注：不提供《基本资格条件承诺函》的供应商需提交如下资格证明文件：①法人提供2024年度或2025年度经审计的财务报告（成立时间至提交投标文件截止时间不足一年的可提供成立后任意时段的资产负债表），或提交自2025年1月1日以来基本开户银行出具的资信证明，或信用担保机构出具的投标担保函（以上三种形式任选一种）；其他组织和自然人提供银行出具的资信证明或财务报表。（注：经审计的财务报告，指的是由第三方机构进行审计并出具审计意见，审计报告具有注册会计师行业统一监管平台赋予的验证码，报告附含能证明财务状况的财务报表（至少包含资产负债表、利润表、现金流量表）和附注，不作其他要求）。②法人提供2025年1月1日至今已缴纳的至少一个月的纳税证明或完税证明，纳税证明或完税证明上应有代收机构或税务机关的公章或业务专用章；其他组织和自然人提供自2025年1月1日以来至少一个月缴纳税收的凭据；依法免税的单位应提供相关证明材料。③提供2025年1月1日至今已缴存的至少一个月的社会保险参保缴费情况证明（社会保障资金缴存单据或社保机构开具的社会保险参保缴费情况证明等），依法不需要缴纳社会保障资金的单位应提供相关证明材料。④提供具有履行合同所必需的设备和专业技术能力的承诺（格式自拟）。⑤参加政府采购活动前3年内，在经营活动中没有重大违法记录的书面声明（格式自拟）。 供应商需在项目电子化交易系统中按要求填写《响应函》完成承诺并进行电子签章，且按照资格证明文件中的格式，提供清晰、完整、有效的相关证明材料。</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法定代表人（主要责任人）委托授权书/身份证明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法定代表人授权书（附法定代表人、被授权人身份证复印件）及被授权人身份证（法定代表人直接参加磋商，须提供法定代表人身份证明及身份证复印件）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具备建筑工程施工总承包三级（含）及以上资质，具有有效的安全生产许可证。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项目经理资格要求</w:t>
            </w:r>
          </w:p>
        </w:tc>
        <w:tc>
          <w:tcPr>
            <w:tcW w:type="dxa" w:w="3322"/>
          </w:tcPr>
          <w:p>
            <w:pPr>
              <w:pStyle w:val="null3"/>
            </w:pPr>
            <w:r>
              <w:rPr>
                <w:rFonts w:ascii="仿宋_GB2312" w:hAnsi="仿宋_GB2312" w:cs="仿宋_GB2312" w:eastAsia="仿宋_GB2312"/>
              </w:rPr>
              <w:t>拟派项目经理须具备建筑工程专业二级（含）及以上注册建造师资格，具有有效的安全生产考核合格证书（建安B证），在本单位注册且现阶段没有担任任何在施建设工程项目的项目经理和无不良信用记录。</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信用记录审查</w:t>
            </w:r>
          </w:p>
        </w:tc>
        <w:tc>
          <w:tcPr>
            <w:tcW w:type="dxa" w:w="3322"/>
          </w:tcPr>
          <w:p>
            <w:pPr>
              <w:pStyle w:val="null3"/>
            </w:pPr>
            <w:r>
              <w:rPr>
                <w:rFonts w:ascii="仿宋_GB2312" w:hAnsi="仿宋_GB2312" w:cs="仿宋_GB2312" w:eastAsia="仿宋_GB2312"/>
              </w:rPr>
              <w:t>供应商不得为“信用中国”网站中列入失信被执行人和重大税收违法案件当事人名单的供应商，不得为中国政府采购网政府采购严重违法失信行为记录名单中被财政部门禁止参加政府采购活动的供应商。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已标价工程量清单.docx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签章</w:t>
            </w:r>
          </w:p>
        </w:tc>
        <w:tc>
          <w:tcPr>
            <w:tcW w:type="dxa" w:w="3322"/>
          </w:tcPr>
          <w:p>
            <w:pPr>
              <w:pStyle w:val="null3"/>
            </w:pPr>
            <w:r>
              <w:rPr>
                <w:rFonts w:ascii="仿宋_GB2312" w:hAnsi="仿宋_GB2312" w:cs="仿宋_GB2312" w:eastAsia="仿宋_GB2312"/>
              </w:rPr>
              <w:t>符合竞争性磋商文件要求，且无遗漏。</w:t>
            </w:r>
          </w:p>
        </w:tc>
        <w:tc>
          <w:tcPr>
            <w:tcW w:type="dxa" w:w="1661"/>
          </w:tcPr>
          <w:p>
            <w:pPr>
              <w:pStyle w:val="null3"/>
            </w:pPr>
            <w:r>
              <w:rPr>
                <w:rFonts w:ascii="仿宋_GB2312" w:hAnsi="仿宋_GB2312" w:cs="仿宋_GB2312" w:eastAsia="仿宋_GB2312"/>
              </w:rPr>
              <w:t>响应文件封面 商务要求偏离表.docx 报价函 标的清单 响应函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完全响应磋商文件商务要求的各项条款，且没有出现法律法规或竞争性磋商文件规定的其他无效情形。</w:t>
            </w:r>
          </w:p>
        </w:tc>
        <w:tc>
          <w:tcPr>
            <w:tcW w:type="dxa" w:w="1661"/>
          </w:tcPr>
          <w:p>
            <w:pPr>
              <w:pStyle w:val="null3"/>
            </w:pPr>
            <w:r>
              <w:rPr>
                <w:rFonts w:ascii="仿宋_GB2312" w:hAnsi="仿宋_GB2312" w:cs="仿宋_GB2312" w:eastAsia="仿宋_GB2312"/>
              </w:rPr>
              <w:t>商务要求偏离表.docx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施工方案与技术措施</w:t>
            </w:r>
          </w:p>
        </w:tc>
        <w:tc>
          <w:tcPr>
            <w:tcW w:type="dxa" w:w="2492"/>
          </w:tcPr>
          <w:p>
            <w:pPr>
              <w:pStyle w:val="null3"/>
            </w:pPr>
            <w:r>
              <w:rPr>
                <w:rFonts w:ascii="仿宋_GB2312" w:hAnsi="仿宋_GB2312" w:cs="仿宋_GB2312" w:eastAsia="仿宋_GB2312"/>
              </w:rPr>
              <w:t>结合本项目技术标准和要求，制定详细的施工方案与技术措施，符合行业规范及行业标准。 科学、合理，完全满足项目实施要求的，得6分；较为合理，能部分满足项目实施要求的，得4分；内容简单，无法满足项目实施要求的，得2分；未提供得0分。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工程质量目标与措施</w:t>
            </w:r>
          </w:p>
        </w:tc>
        <w:tc>
          <w:tcPr>
            <w:tcW w:type="dxa" w:w="2492"/>
          </w:tcPr>
          <w:p>
            <w:pPr>
              <w:pStyle w:val="null3"/>
            </w:pPr>
            <w:r>
              <w:rPr>
                <w:rFonts w:ascii="仿宋_GB2312" w:hAnsi="仿宋_GB2312" w:cs="仿宋_GB2312" w:eastAsia="仿宋_GB2312"/>
              </w:rPr>
              <w:t>针对本项目制定的质量目标、管理体系与措施。 科学、合理，完全满足项目实施要求的，得6分；较为合理，能部分满足项目实施要求的，得4分；内容简单，无法满足项目实施要求的，得2分；未提供得0分。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项目管理机构组成</w:t>
            </w:r>
          </w:p>
        </w:tc>
        <w:tc>
          <w:tcPr>
            <w:tcW w:type="dxa" w:w="2492"/>
          </w:tcPr>
          <w:p>
            <w:pPr>
              <w:pStyle w:val="null3"/>
            </w:pPr>
            <w:r>
              <w:rPr>
                <w:rFonts w:ascii="仿宋_GB2312" w:hAnsi="仿宋_GB2312" w:cs="仿宋_GB2312" w:eastAsia="仿宋_GB2312"/>
              </w:rPr>
              <w:t>结合本项目实际配备合理的项目管理机构人员组成，专业齐全。 科学、合理，完全满足项目实施要求的，得6分；较为合理，能部分满足项目实施要求的，得4分；内容简单，无法满足项目实施要求的，得2分；未提供得0分。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工程进度计划与措施</w:t>
            </w:r>
          </w:p>
        </w:tc>
        <w:tc>
          <w:tcPr>
            <w:tcW w:type="dxa" w:w="2492"/>
          </w:tcPr>
          <w:p>
            <w:pPr>
              <w:pStyle w:val="null3"/>
            </w:pPr>
            <w:r>
              <w:rPr>
                <w:rFonts w:ascii="仿宋_GB2312" w:hAnsi="仿宋_GB2312" w:cs="仿宋_GB2312" w:eastAsia="仿宋_GB2312"/>
              </w:rPr>
              <w:t>针对本项目制定的总工期满足磋商文件要求、进度计划有横道图或网络图。 科学、合理，完全满足项目实施要求的，得6分；较为合理，能部分满足项目实施要求的，得4分；内容简单，无法满足项目实施要求的，得2分；未提供得0分。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针对本项目制定的安全管理体系与措施。 科学、合理，完全满足项目实施要求的，得6分；较为合理，能部分满足项目实施要求的，得4分；内容简单，无法满足项目实施要求的，得2分；未提供得0分。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文明施工体系与措施</w:t>
            </w:r>
          </w:p>
        </w:tc>
        <w:tc>
          <w:tcPr>
            <w:tcW w:type="dxa" w:w="2492"/>
          </w:tcPr>
          <w:p>
            <w:pPr>
              <w:pStyle w:val="null3"/>
            </w:pPr>
            <w:r>
              <w:rPr>
                <w:rFonts w:ascii="仿宋_GB2312" w:hAnsi="仿宋_GB2312" w:cs="仿宋_GB2312" w:eastAsia="仿宋_GB2312"/>
              </w:rPr>
              <w:t>针对本项目制定的文明施工体系与措施。 科学、合理，完全满足项目实施要求的，得6分；较为合理，能部分满足项目实施要求的，得4分；内容简单，无法满足项目实施要求的，得2分；未提供得0分。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针对本项目制定的环境保护管理体系与措施。 科学、合理，完全满足项目实施要求的，得6分；较为合理，能部分满足项目实施要求的，得4分；内容简单，无法满足项目实施要求的，得2分；未提供得0分。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针对本项目材料、机械设备的分配及使用计划。 科学、合理，完全满足项目实施要求的，得6分；较为合理，能部分满足项目实施要求的，得4分；内容简单，无法满足项目实施要求的，得2分；未提供得0分。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针对本项目制定的应急预案。 科学、合理，完全满足项目实施要求的，得6分；较为合理，能部分满足项目实施要求的，得4分；内容简单，无法满足项目实施要求的，得2分；未提供得0分。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项目经理职称及业绩</w:t>
            </w:r>
          </w:p>
        </w:tc>
        <w:tc>
          <w:tcPr>
            <w:tcW w:type="dxa" w:w="2492"/>
          </w:tcPr>
          <w:p>
            <w:pPr>
              <w:pStyle w:val="null3"/>
            </w:pPr>
            <w:r>
              <w:rPr>
                <w:rFonts w:ascii="仿宋_GB2312" w:hAnsi="仿宋_GB2312" w:cs="仿宋_GB2312" w:eastAsia="仿宋_GB2312"/>
              </w:rPr>
              <w:t>1、拟派项目经理具备工程类相关专业中级（含）及以上职称证书的得4分，初级职称的得2分，其他情况不得分。 评审依据：以供应商加盖公章的职称证书复印件或扫描件为准。 2、拟派项目经理承接过类似工程业绩（在该项目中担任项目经理一职），提供1项符合要求的业绩得2分，未提供的不得分。 评审依据：类似工程指建筑工程，提供合同关键页或竣工验收资料复印件或扫描件并加盖供应商公章（需体现项目经理名字），否则不予赋分。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满足磋商文件要求且最后报价最低的供应商的价格为磋商基准价，其价格分为满分。其他供应商的价格分统一按照下列公式计算：磋商报价得分=（磋商基准价/最后磋商报价）×40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详见附件：商务要求偏离表.docx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