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版本号：NCXD2026-CS10220260402001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2025年经济技术开发区重大社会稳定风险评估服务项目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NCXD2026-CS102</w:t>
      </w:r>
      <w:r>
        <w:br/>
      </w:r>
      <w:r>
        <w:br/>
      </w:r>
      <w:r>
        <w:br/>
      </w:r>
    </w:p>
    <w:p>
      <w:pPr>
        <w:pStyle w:val="null3"/>
        <w:jc w:val="center"/>
        <w:outlineLvl w:val="2"/>
      </w:pPr>
      <w:r>
        <w:rPr>
          <w:rFonts w:ascii="仿宋_GB2312" w:hAnsi="仿宋_GB2312" w:cs="仿宋_GB2312" w:eastAsia="仿宋_GB2312"/>
          <w:sz w:val="28"/>
          <w:b/>
        </w:rPr>
        <w:t>西安经济技术开发区党群工作部</w:t>
      </w:r>
    </w:p>
    <w:p>
      <w:pPr>
        <w:pStyle w:val="null3"/>
        <w:jc w:val="center"/>
        <w:outlineLvl w:val="2"/>
      </w:pPr>
      <w:r>
        <w:rPr>
          <w:rFonts w:ascii="仿宋_GB2312" w:hAnsi="仿宋_GB2312" w:cs="仿宋_GB2312" w:eastAsia="仿宋_GB2312"/>
          <w:sz w:val="28"/>
          <w:b/>
        </w:rPr>
        <w:t>陕西诺诚鑫达招标代理有限公司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陕西诺诚鑫达招标代理有限公司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西安经济技术开发区党群工作部</w:t>
      </w:r>
      <w:r>
        <w:rPr>
          <w:rFonts w:ascii="仿宋_GB2312" w:hAnsi="仿宋_GB2312" w:cs="仿宋_GB2312" w:eastAsia="仿宋_GB2312"/>
        </w:rPr>
        <w:t>委托，拟对</w:t>
      </w:r>
      <w:r>
        <w:rPr>
          <w:rFonts w:ascii="仿宋_GB2312" w:hAnsi="仿宋_GB2312" w:cs="仿宋_GB2312" w:eastAsia="仿宋_GB2312"/>
        </w:rPr>
        <w:t>2025年经济技术开发区重大社会稳定风险评估服务项目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NCXD2026-CS102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2025年经济技术开发区重大社会稳定风险评估服务项目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系统评估：聘请第三方机构对区内重大项目开展社会稳定风险评估调查，识别风险因素，估计风险等级，编制风险防范化解措施和风险应急处置预案，编制评估报告并通过专家评审，以及完成稳评备案工作。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采购包1（2025年经济技术开发区重大社会稳定风险评估服务项目）：属于专门面向中小企业采购。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状况：供应商是法人的，提供近三年（2023-2025年）年度任意一年经审计并通过注册会计师行业统一监管平台备案赋码的财务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p>
      <w:pPr>
        <w:pStyle w:val="null3"/>
      </w:pPr>
      <w:r>
        <w:rPr>
          <w:rFonts w:ascii="仿宋_GB2312" w:hAnsi="仿宋_GB2312" w:cs="仿宋_GB2312" w:eastAsia="仿宋_GB2312"/>
        </w:rPr>
        <w:t>2、税收缴纳证明：提供2025年1月1日以来任意一个月税收缴纳证明（至少包含增值税或企业所得税其中一种），依法免税的单位应提供相关证明材料；</w:t>
      </w:r>
    </w:p>
    <w:p>
      <w:pPr>
        <w:pStyle w:val="null3"/>
      </w:pPr>
      <w:r>
        <w:rPr>
          <w:rFonts w:ascii="仿宋_GB2312" w:hAnsi="仿宋_GB2312" w:cs="仿宋_GB2312" w:eastAsia="仿宋_GB2312"/>
        </w:rPr>
        <w:t>3、社会保障资金缴纳证明：提供2025年1月1日以来任意一个月的社会保障资金缴存单据或社保机构开具的社会保险参保缴费情况证明，依法不需要缴纳社会保障资金的单位应提供相关证明材料；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4、承诺函：具备履行合同所必需的设备和专业技术能力的证明材料（书面声明）；</w:t>
      </w:r>
    </w:p>
    <w:p>
      <w:pPr>
        <w:pStyle w:val="null3"/>
      </w:pPr>
      <w:r>
        <w:rPr>
          <w:rFonts w:ascii="仿宋_GB2312" w:hAnsi="仿宋_GB2312" w:cs="仿宋_GB2312" w:eastAsia="仿宋_GB2312"/>
        </w:rPr>
        <w:t>5、无违法记录：参加政府采购活动前3年内在经营活动中没有重大违法记录的书面声明；</w:t>
      </w:r>
    </w:p>
    <w:p>
      <w:pPr>
        <w:pStyle w:val="null3"/>
      </w:pPr>
      <w:r>
        <w:rPr>
          <w:rFonts w:ascii="仿宋_GB2312" w:hAnsi="仿宋_GB2312" w:cs="仿宋_GB2312" w:eastAsia="仿宋_GB2312"/>
        </w:rPr>
        <w:t>6、营业执照：企业法人具有有效的营业执照（具备统一社会信用代码）；事业法人应具有有效的事业单位法人证；其他组织应具有合法证明文件；自然人具有身份证明文件；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7、法人授权委托书：供应商代表应提供法定代表人（单位负责人）授权书（附法定代表人（单位负责人）及被授权人身份证），（法定代表人（单位负责人）直接参加只须提供法定代表人身份证明及身份证；</w:t>
      </w:r>
    </w:p>
    <w:p>
      <w:pPr>
        <w:pStyle w:val="null3"/>
      </w:pPr>
      <w:r>
        <w:rPr>
          <w:rFonts w:ascii="仿宋_GB2312" w:hAnsi="仿宋_GB2312" w:cs="仿宋_GB2312" w:eastAsia="仿宋_GB2312"/>
        </w:rPr>
        <w:t>8、信用情况：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西安经济技术开发区党群工作部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陕西省西安市未央区凤城十二路凯瑞大厦F座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张文瑞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17392765453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陕西诺诚鑫达招标代理有限公司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陕西省西安市莲湖区高新三路财富中心二期B座18层21811室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赵芸莉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029-68805822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邓谷元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关于招标代理服务收费有关问题的通知》（发改办价格[2003]857号）及《国家发展改革委关于进一步放开建设项目专业服务价格的通知》（发改价格〔2015〕299号）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西安经济技术开发区党群工作部</w:t>
      </w:r>
      <w:r>
        <w:rPr>
          <w:rFonts w:ascii="仿宋_GB2312" w:hAnsi="仿宋_GB2312" w:cs="仿宋_GB2312" w:eastAsia="仿宋_GB2312"/>
        </w:rPr>
        <w:t>和</w:t>
      </w:r>
      <w:r>
        <w:rPr>
          <w:rFonts w:ascii="仿宋_GB2312" w:hAnsi="仿宋_GB2312" w:cs="仿宋_GB2312" w:eastAsia="仿宋_GB2312"/>
        </w:rPr>
        <w:t>陕西诺诚鑫达招标代理有限公司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西安经济技术开发区党群工作部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陕西诺诚鑫达招标代理有限公司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西安经济技术开发区党群工作部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陕西诺诚鑫达招标代理有限公司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按照采购人的要求执行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陕西诺诚鑫达招标代理有限公司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陕西诺诚鑫达招标代理有限公司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陕西诺诚鑫达招标代理有限公司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联系人：赵芸莉</w:t>
      </w:r>
    </w:p>
    <w:p>
      <w:pPr>
        <w:pStyle w:val="null3"/>
      </w:pPr>
      <w:r>
        <w:rPr>
          <w:rFonts w:ascii="仿宋_GB2312" w:hAnsi="仿宋_GB2312" w:cs="仿宋_GB2312" w:eastAsia="仿宋_GB2312"/>
        </w:rPr>
        <w:t>联系电话：029-68805822</w:t>
      </w:r>
    </w:p>
    <w:p>
      <w:pPr>
        <w:pStyle w:val="null3"/>
      </w:pPr>
      <w:r>
        <w:rPr>
          <w:rFonts w:ascii="仿宋_GB2312" w:hAnsi="仿宋_GB2312" w:cs="仿宋_GB2312" w:eastAsia="仿宋_GB2312"/>
        </w:rPr>
        <w:t>地址：陕西省西安市莲湖区高新三路财富中心二期B座18层21811室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2025年经济技术开发区重大社会稳定风险评估服务项目，对区内重点项目、重大行政决策和重大公共政策、敏感案（事）件及重大活动、其他需要开展稳评的事项进行社会稳定风险评估工作；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2025年经济技术开发区重大社会稳定风险评估服务项目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标的名称：2025年经济技术开发区重大社会稳定风险评估服务项目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4"/>
              </w:rPr>
              <w:t>系统评估：聘请第三方机构对区内重大项目开展社会稳定风险评估调查，识别风险因素，估计风险等级，编制风险防范化解措施和风险应急处置预案，编制评估报告并通过专家评审，以及完成稳评备案工作。系统评估共</w:t>
            </w:r>
            <w:r>
              <w:rPr>
                <w:rFonts w:ascii="仿宋_GB2312" w:hAnsi="仿宋_GB2312" w:cs="仿宋_GB2312" w:eastAsia="仿宋_GB2312"/>
                <w:sz w:val="24"/>
              </w:rPr>
              <w:t>10个项目，每个项目不得超过41000元。</w:t>
            </w:r>
          </w:p>
          <w:tbl>
            <w:tblPr>
              <w:tblInd w:type="dxa" w:w="240"/>
              <w:tblBorders>
                <w:top w:val="none" w:color="000000" w:sz="4"/>
                <w:left w:val="none" w:color="000000" w:sz="4"/>
                <w:bottom w:val="none" w:color="000000" w:sz="4"/>
                <w:right w:val="none" w:color="000000" w:sz="4"/>
                <w:insideH w:val="none"/>
                <w:insideV w:val="none"/>
              </w:tblBorders>
            </w:tblPr>
            <w:tblGrid>
              <w:gridCol w:w="106"/>
              <w:gridCol w:w="772"/>
              <w:gridCol w:w="501"/>
              <w:gridCol w:w="489"/>
              <w:gridCol w:w="684"/>
            </w:tblGrid>
            <w:tr>
              <w:tc>
                <w:tcPr>
                  <w:tcW w:type="dxa" w:w="10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序号</w:t>
                  </w:r>
                </w:p>
              </w:tc>
              <w:tc>
                <w:tcPr>
                  <w:tcW w:type="dxa" w:w="77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项目名称</w:t>
                  </w:r>
                </w:p>
              </w:tc>
              <w:tc>
                <w:tcPr>
                  <w:tcW w:type="dxa" w:w="50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决策机构</w:t>
                  </w:r>
                </w:p>
              </w:tc>
              <w:tc>
                <w:tcPr>
                  <w:tcW w:type="dxa" w:w="4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事项类别</w:t>
                  </w:r>
                </w:p>
              </w:tc>
              <w:tc>
                <w:tcPr>
                  <w:tcW w:type="dxa" w:w="68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其他需要说明的情况</w:t>
                  </w:r>
                </w:p>
              </w:tc>
            </w:tr>
            <w:tr>
              <w:tc>
                <w:tcPr>
                  <w:tcW w:type="dxa" w:w="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7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西安</w:t>
                  </w:r>
                  <w:r>
                    <w:rPr>
                      <w:rFonts w:ascii="仿宋_GB2312" w:hAnsi="仿宋_GB2312" w:cs="仿宋_GB2312" w:eastAsia="仿宋_GB2312"/>
                      <w:sz w:val="24"/>
                    </w:rPr>
                    <w:t>“保回迁”（2025-2026）经开区项目</w:t>
                  </w:r>
                </w:p>
              </w:tc>
              <w:tc>
                <w:tcPr>
                  <w:tcW w:type="dxa" w:w="5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经开区</w:t>
                  </w:r>
                </w:p>
              </w:tc>
              <w:tc>
                <w:tcPr>
                  <w:tcW w:type="dxa" w:w="4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重大项目实施</w:t>
                  </w:r>
                </w:p>
              </w:tc>
              <w:tc>
                <w:tcPr>
                  <w:tcW w:type="dxa" w:w="6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系统评估</w:t>
                  </w:r>
                </w:p>
              </w:tc>
            </w:tr>
            <w:tr>
              <w:tc>
                <w:tcPr>
                  <w:tcW w:type="dxa" w:w="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7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西安娃哈哈饮品新基地项目</w:t>
                  </w:r>
                </w:p>
              </w:tc>
              <w:tc>
                <w:tcPr>
                  <w:tcW w:type="dxa" w:w="5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经开区</w:t>
                  </w:r>
                </w:p>
              </w:tc>
              <w:tc>
                <w:tcPr>
                  <w:tcW w:type="dxa" w:w="4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重大项目实施</w:t>
                  </w:r>
                </w:p>
              </w:tc>
              <w:tc>
                <w:tcPr>
                  <w:tcW w:type="dxa" w:w="6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系统评估</w:t>
                  </w:r>
                </w:p>
              </w:tc>
            </w:tr>
            <w:tr>
              <w:tc>
                <w:tcPr>
                  <w:tcW w:type="dxa" w:w="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7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天大钒业高纯度中间合金研发生产项目</w:t>
                  </w:r>
                </w:p>
              </w:tc>
              <w:tc>
                <w:tcPr>
                  <w:tcW w:type="dxa" w:w="5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经开区</w:t>
                  </w:r>
                </w:p>
              </w:tc>
              <w:tc>
                <w:tcPr>
                  <w:tcW w:type="dxa" w:w="4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重大项目实施</w:t>
                  </w:r>
                </w:p>
              </w:tc>
              <w:tc>
                <w:tcPr>
                  <w:tcW w:type="dxa" w:w="6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系统评估</w:t>
                  </w:r>
                </w:p>
              </w:tc>
            </w:tr>
            <w:tr>
              <w:tc>
                <w:tcPr>
                  <w:tcW w:type="dxa" w:w="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7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高品质金属粉末、粉床电子束</w:t>
                  </w:r>
                  <w:r>
                    <w:rPr>
                      <w:rFonts w:ascii="仿宋_GB2312" w:hAnsi="仿宋_GB2312" w:cs="仿宋_GB2312" w:eastAsia="仿宋_GB2312"/>
                      <w:sz w:val="24"/>
                    </w:rPr>
                    <w:t>3D打印技术与装备产业化项目（二期）</w:t>
                  </w:r>
                </w:p>
              </w:tc>
              <w:tc>
                <w:tcPr>
                  <w:tcW w:type="dxa" w:w="5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经开区</w:t>
                  </w:r>
                </w:p>
              </w:tc>
              <w:tc>
                <w:tcPr>
                  <w:tcW w:type="dxa" w:w="4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重大项目实施</w:t>
                  </w:r>
                </w:p>
              </w:tc>
              <w:tc>
                <w:tcPr>
                  <w:tcW w:type="dxa" w:w="6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系统评估</w:t>
                  </w:r>
                </w:p>
              </w:tc>
            </w:tr>
            <w:tr>
              <w:tc>
                <w:tcPr>
                  <w:tcW w:type="dxa" w:w="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7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城市片区更新改造项目</w:t>
                  </w:r>
                </w:p>
              </w:tc>
              <w:tc>
                <w:tcPr>
                  <w:tcW w:type="dxa" w:w="5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经开区</w:t>
                  </w:r>
                </w:p>
              </w:tc>
              <w:tc>
                <w:tcPr>
                  <w:tcW w:type="dxa" w:w="4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重大项目实施</w:t>
                  </w:r>
                </w:p>
              </w:tc>
              <w:tc>
                <w:tcPr>
                  <w:tcW w:type="dxa" w:w="6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系统评估</w:t>
                  </w:r>
                </w:p>
              </w:tc>
            </w:tr>
            <w:tr>
              <w:tc>
                <w:tcPr>
                  <w:tcW w:type="dxa" w:w="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7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欧中高端金属粉末冶金部件短流程绿色柔性智造项目</w:t>
                  </w:r>
                </w:p>
              </w:tc>
              <w:tc>
                <w:tcPr>
                  <w:tcW w:type="dxa" w:w="5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经开区</w:t>
                  </w:r>
                </w:p>
              </w:tc>
              <w:tc>
                <w:tcPr>
                  <w:tcW w:type="dxa" w:w="4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重大项目实施</w:t>
                  </w:r>
                </w:p>
              </w:tc>
              <w:tc>
                <w:tcPr>
                  <w:tcW w:type="dxa" w:w="6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系统评估</w:t>
                  </w:r>
                </w:p>
              </w:tc>
            </w:tr>
            <w:tr>
              <w:tc>
                <w:tcPr>
                  <w:tcW w:type="dxa" w:w="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w:t>
                  </w:r>
                </w:p>
              </w:tc>
              <w:tc>
                <w:tcPr>
                  <w:tcW w:type="dxa" w:w="7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西安立讯未来中心</w:t>
                  </w:r>
                </w:p>
              </w:tc>
              <w:tc>
                <w:tcPr>
                  <w:tcW w:type="dxa" w:w="5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经开区</w:t>
                  </w:r>
                </w:p>
              </w:tc>
              <w:tc>
                <w:tcPr>
                  <w:tcW w:type="dxa" w:w="4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重大项目实施</w:t>
                  </w:r>
                </w:p>
              </w:tc>
              <w:tc>
                <w:tcPr>
                  <w:tcW w:type="dxa" w:w="6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系统评估</w:t>
                  </w:r>
                </w:p>
              </w:tc>
            </w:tr>
            <w:tr>
              <w:tc>
                <w:tcPr>
                  <w:tcW w:type="dxa" w:w="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w:t>
                  </w:r>
                </w:p>
              </w:tc>
              <w:tc>
                <w:tcPr>
                  <w:tcW w:type="dxa" w:w="7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西安仙同智谷创新中心</w:t>
                  </w:r>
                </w:p>
              </w:tc>
              <w:tc>
                <w:tcPr>
                  <w:tcW w:type="dxa" w:w="5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经开区</w:t>
                  </w:r>
                </w:p>
              </w:tc>
              <w:tc>
                <w:tcPr>
                  <w:tcW w:type="dxa" w:w="4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重大项目实施</w:t>
                  </w:r>
                </w:p>
              </w:tc>
              <w:tc>
                <w:tcPr>
                  <w:tcW w:type="dxa" w:w="6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系统评估</w:t>
                  </w:r>
                </w:p>
              </w:tc>
            </w:tr>
            <w:tr>
              <w:tc>
                <w:tcPr>
                  <w:tcW w:type="dxa" w:w="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9</w:t>
                  </w:r>
                </w:p>
              </w:tc>
              <w:tc>
                <w:tcPr>
                  <w:tcW w:type="dxa" w:w="7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西安超导产业创新中心</w:t>
                  </w:r>
                </w:p>
              </w:tc>
              <w:tc>
                <w:tcPr>
                  <w:tcW w:type="dxa" w:w="5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经开区</w:t>
                  </w:r>
                </w:p>
              </w:tc>
              <w:tc>
                <w:tcPr>
                  <w:tcW w:type="dxa" w:w="4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重大项目实施</w:t>
                  </w:r>
                </w:p>
              </w:tc>
              <w:tc>
                <w:tcPr>
                  <w:tcW w:type="dxa" w:w="6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系统评估</w:t>
                  </w:r>
                </w:p>
              </w:tc>
            </w:tr>
            <w:tr>
              <w:tc>
                <w:tcPr>
                  <w:tcW w:type="dxa" w:w="1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w:t>
                  </w:r>
                </w:p>
              </w:tc>
              <w:tc>
                <w:tcPr>
                  <w:tcW w:type="dxa" w:w="7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西安石油服务产业园一期（宝石花）</w:t>
                  </w:r>
                </w:p>
              </w:tc>
              <w:tc>
                <w:tcPr>
                  <w:tcW w:type="dxa" w:w="5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经开区</w:t>
                  </w:r>
                </w:p>
              </w:tc>
              <w:tc>
                <w:tcPr>
                  <w:tcW w:type="dxa" w:w="4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重大项目实施</w:t>
                  </w:r>
                </w:p>
              </w:tc>
              <w:tc>
                <w:tcPr>
                  <w:tcW w:type="dxa" w:w="6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系统评估</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人员安排分工合理、责任明确，满足本项目要求。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有完备的设施设备，满足本项目要求。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乙方完成本项目所有内容，相关成果文件全部提交甲方且经甲方验收合格后，乙方提供等额合规的发票后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在合同履行过程中发生争议，双方应当协商解决，当事人双方不愿意协商、调解或者协商、调解不成的，双方商定向甲方所在地人民法院提起诉讼。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是法人的，提供近三年（2023-2025年）年度任意一年经审计并通过注册会计师行业统一监管平台备案赋码的财务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提供2025年1月1日以来任意一个月税收缴纳证明（至少包含增值税或企业所得税其中一种），依法免税的单位应提供相关证明材料；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提供2025年1月1日以来任意一个月的社会保障资金缴存单据或社保机构开具的社会保险参保缴费情况证明，依法不需要缴纳社会保障资金的单位应提供相关证明材料；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具备履行合同所必需的设备和专业技术能力的证明材料（书面声明）；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供应商代表应提供法定代表人（单位负责人）授权书（附法定代表人（单位负责人）及被授权人身份证），（法定代表人（单位负责人）直接参加只须提供法定代表人身份证明及身份证；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投标文件构成是否有重大缺项，是否按照招标文件要求的格式编写投标文件。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投标文件的签署、加盖印章是否合格、有效；提供的各种证明文件、数据、资料是否真实、有效，投标有效期是否满足招标文件规定，授权期限是否满足招标文件中规定的有效期。</w:t>
            </w:r>
          </w:p>
        </w:tc>
        <w:tc>
          <w:tcPr>
            <w:tcW w:type="dxa" w:w="1661"/>
          </w:tcPr>
          <w:p>
            <w:pPr>
              <w:pStyle w:val="null3"/>
            </w:pPr>
            <w:r>
              <w:rPr>
                <w:rFonts w:ascii="仿宋_GB2312" w:hAnsi="仿宋_GB2312" w:cs="仿宋_GB2312" w:eastAsia="仿宋_GB2312"/>
              </w:rPr>
              <w:t>响应文件封面 商务应答表 服务内容及服务邀请应答表.docx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投标方案是否有重大缺漏项；投标产品的技术规格是否有重大偏离；投标商务条款是否有重大偏离；对合同中规定的双方的权利和义务是否做出了实质性修改。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供应商承诺书.docx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投标报价是否超过项目采购预算。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招标文件其他章节中对无效投标的规定。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 （1）项目背景的理解认识。 （2）项目实施方案。 （3）工作思路组织方案。 （4）服务流程安排措施。 2、评审标准 ： ①完整性：方案必须全面，对评审内容中的各项要求有详细描述； ②可实施性：切合本项目实际情况，提出步骤清晰、合理的方案； ③针对性：方案能够紧扣项目实际情况，内容科学合理。 3、赋分标准： ①项目背景的理解认识每完全满足一个评审标准得 2 分，最高得分6分。 ②项目实施方案每完全满足一个评审标准得 2分，最高得分6分。 ③工作思路组织方案每完全满足一个评审标准得2 分，最高得分6分。 ④服务流程安排措施。每完全满足一个评审标准得2 分，最高得分6分。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 （1）质量控制措施方法。 （2）预防性管理方法。 （3）工作质量的控制。 （4）保证体系及保证措施。 （5）质量保证承诺。 2、评审标准 ： ①完整性：方案必须全面，对评审内容中的各项要求有详细描述； ②可实施性：切合本项目实际情况，提出步骤清晰、合理的方案； ③针对性：方案能够紧扣项目实际情况，内容科学合理。 3、赋分标准： ①质量控制措施方法每完全满足一个评审标准得 1 分，最高得分3分。 ②预防性管理方法每完全满足一个评审标准得 1 分，最高得分3分。 ③工作质量的控制每完全满足一个评审标准得 1 分，最高得分3分。 ④保证体系及保证措施每完全满足一个评审标准得 1 分，最高得分3分。 ⑤质量保证承诺每完全满足一个评审标准得 1 分，最高得分3分。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1、评审内容： （1）各岗位工作职责描述。 （2）岗位人员安排方案。 （3）内部工作监督机制。 （4）员工的考核评价机制 （5）针对项目的沟通协调机制。 2、评审标准 ： ①完整性：方案必须全面，对评审内容中的各项要求有详细描述； ②可实施性：切合本项目实际情况，提出步骤清晰、合理的方案； ③针对性：方案能够紧扣项目实际情况，内容科学合理。 3、赋分标准： ①各岗位工作职责描述每完全满足一个评审标准得 1 分，最高得分3分。 ②岗位人员安排方案每完全满足一个评审标准得 1 分，最高得分3分。 ③内部工作监督机制每完全满足一个评审标准得 1 分，最高得分3分。 ④员工的考核评价机制每完全满足一个评审标准得 1 分，最高得分3分。 ⑤针对项目的沟通协调机制。每完全满足一个评审标准得 1 分，最高得分3分。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1、评审内容： （1）进度计划。 （2）进度保证措施。 2、评审标准 ： ①完整性：方案必须全面，对评审内容中的各项要求有详细描述； ②可实施性：切合本项目实际情况，提出步骤清晰、合理的方案； ③针对性：方案能够紧扣项目实际情况，内容科学合理。 3、赋分标准： ①进度计划每完全满足一个评审标准得 1 分，最高得分3分。 ②进度保证措施每完全满足一个评审标准得 1分，最高得分3分。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（1）日常应急事项处理方案 （2）人员变更、离职等应急预案： 从组织架构与职责、预警与报告机制、应急处理流程、后期处理等方面。 2、评审标准 ： ①完整性：方案必须全面，对评审内容中的各项要求有详细描述； ②可实施性：切合本项目实际情况，提出步骤清晰、合理的方案； ③针对性：方案能够紧扣项目实际情况，内容科学合理。 3、赋分标准： ①日常应急事项处理方案每完全满足一个评审标准得 1 分，最高得分3分。 ②人员变更、离职等应急预案每完全满足一个评审标准得 1 分，最高得分3分。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1、评审内容： 针对本项目拟定针对性的验收方案。 2、评审标准 ： ①完整性：方案必须全面，对评审内容中的各项要求有详细描述； ②可实施性：切合本项目实际情况，提出步骤清晰、合理的方案； ③针对性：方案能够紧扣项目实际情况，内容科学合理。 3、赋分标准： 验收方案每完全满足一个评审标准得2 分，最高得分6分。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工作重、难点分析及解决</w:t>
            </w:r>
          </w:p>
        </w:tc>
        <w:tc>
          <w:tcPr>
            <w:tcW w:type="dxa" w:w="2492"/>
          </w:tcPr>
          <w:p>
            <w:pPr>
              <w:pStyle w:val="null3"/>
            </w:pPr>
            <w:r>
              <w:rPr>
                <w:rFonts w:ascii="仿宋_GB2312" w:hAnsi="仿宋_GB2312" w:cs="仿宋_GB2312" w:eastAsia="仿宋_GB2312"/>
              </w:rPr>
              <w:t>1、评审内容： （1）针对本项目工作重点、难点的分析 （2）重难点解决方案。 2、评审标准 ： ①完整性：方案必须全面，对评审内容中的各项要求有详细描述； ②可实施性：切合本项目实际情况，提出步骤清晰、合理的方案； ③针对性：方案能够紧扣项目实际情况，内容科学合理。 3、赋分标准： ①针对本项目工作重点、难点的分析每完全满足一个评审标准得1 分，最高得分3分。 ②重难点解决方案每完全满足一个评审标准得1 分，最高得分3分。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保密措施及方案</w:t>
            </w:r>
          </w:p>
        </w:tc>
        <w:tc>
          <w:tcPr>
            <w:tcW w:type="dxa" w:w="2492"/>
          </w:tcPr>
          <w:p>
            <w:pPr>
              <w:pStyle w:val="null3"/>
            </w:pPr>
            <w:r>
              <w:rPr>
                <w:rFonts w:ascii="仿宋_GB2312" w:hAnsi="仿宋_GB2312" w:cs="仿宋_GB2312" w:eastAsia="仿宋_GB2312"/>
              </w:rPr>
              <w:t>1、评审内容： 针对本项目的涉密信息提供有效，针对性强的保密措施。 2、评审标准 ： ①完整性：方案必须全面，对评审内容中的各项要求有详细描述； ②可实施性：切合本项目实际情况，提出步骤清晰、合理的方案； ③针对性：方案能够紧扣项目实际情况，内容科学合理。 3、赋分标准： 保密措施及方案每完全满足一个评审标准得1分，最高得分3分。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针对本项目制定详细的售后服务方案。 2、评审标准 ： ①完整性：方案必须全面，对评审内容中的各项要求有详细描述； ②可实施性：切合本项目实际情况，提出步骤清晰、合理的方案； ③针对性：方案能够紧扣项目实际情况，内容科学合理。 3、赋分标准： 售后服务方案每完全满足一个评审标准得 1 分，最高得分3分。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 从本项目实际情况出发，为保证服务质量提出合理化建议。 2、评审标准 ： ①完整性：方案必须全面，对评审内容中的各项要求有详细描述； ②可实施性：切合本项目实际情况，提出步骤清晰、合理的方案； ③针对性：方案能够紧扣项目实际情况，内容科学合理。 3、赋分标准：合理化建议方案每完全满足一个评审标准得1 分，最高得分3分。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2023年1月1日至今具有类似项目业绩，响应文件中附有合同或中标通知书作为证明文件（复印件加盖红色公章），证明文件不齐全不得分，每提供一项业绩计1分，满分3分。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1、根据供应商的最后报价，对有效最后报价进行政策性扣减，并依据扣减后的价格（评审价格）进行价格评审。 2、有效最低评审价格得10分。 3、其他报价得分按（有效最低评审价格/评审价格）×10的公式计算其得分。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